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14A</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(Rule 14a - 101)</w:t>
      </w:r>
    </w:p>
    <w:p>
      <w:pPr>
        <w:jc w:val="center"/>
        <w:ind w:right="-219"/>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SCHEDULE 14A INFORMATION</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Exchange Act of 1934 (Amendment No.__)</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00"/>
        <w:spacing w:after="0"/>
        <w:tabs>
          <w:tab w:leader="none" w:pos="10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Preliminary proxy statement.</w:t>
      </w:r>
    </w:p>
    <w:p>
      <w:pPr>
        <w:spacing w:after="0" w:line="23" w:lineRule="exact"/>
        <w:rPr>
          <w:sz w:val="24"/>
          <w:szCs w:val="24"/>
          <w:color w:val="auto"/>
        </w:rPr>
      </w:pPr>
    </w:p>
    <w:p>
      <w:pPr>
        <w:ind w:left="700" w:hanging="190"/>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Confidential, for use of the Commission only (as permitted by Rule 14a-6(e)(2)).</w:t>
      </w:r>
    </w:p>
    <w:p>
      <w:pPr>
        <w:spacing w:after="0" w:line="9" w:lineRule="exact"/>
        <w:rPr>
          <w:rFonts w:ascii="Arial" w:cs="Arial" w:eastAsia="Arial" w:hAnsi="Arial"/>
          <w:sz w:val="18"/>
          <w:szCs w:val="18"/>
          <w:color w:val="auto"/>
        </w:rPr>
      </w:pPr>
    </w:p>
    <w:p>
      <w:pPr>
        <w:ind w:left="1040" w:hanging="526"/>
        <w:spacing w:after="0"/>
        <w:tabs>
          <w:tab w:leader="none" w:pos="104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00"/>
        <w:spacing w:after="0"/>
        <w:tabs>
          <w:tab w:leader="none" w:pos="10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ind w:left="500"/>
        <w:spacing w:after="0"/>
        <w:tabs>
          <w:tab w:leader="none" w:pos="10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Rule 14a-11(c) or Rule 14a-12.</w:t>
      </w:r>
    </w:p>
    <w:p>
      <w:pPr>
        <w:spacing w:after="0" w:line="200" w:lineRule="exact"/>
        <w:rPr>
          <w:sz w:val="24"/>
          <w:szCs w:val="24"/>
          <w:color w:val="auto"/>
        </w:rPr>
      </w:pPr>
    </w:p>
    <w:p>
      <w:pPr>
        <w:spacing w:after="0" w:line="254"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COMSTOCK RESOURCES, INC.</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(Name of Registrant as Specified in its Charter)</w:t>
      </w:r>
    </w:p>
    <w:p>
      <w:pPr>
        <w:spacing w:after="0" w:line="236"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160" w:hanging="686"/>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660" w:hanging="19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14a-6(i)(1) and 0-11.</w:t>
      </w:r>
    </w:p>
    <w:p>
      <w:pPr>
        <w:spacing w:after="0" w:line="237" w:lineRule="exact"/>
        <w:rPr>
          <w:rFonts w:ascii="Arial" w:cs="Arial" w:eastAsia="Arial" w:hAnsi="Arial"/>
          <w:sz w:val="18"/>
          <w:szCs w:val="18"/>
          <w:color w:val="auto"/>
        </w:rPr>
      </w:pPr>
    </w:p>
    <w:p>
      <w:pPr>
        <w:ind w:left="1580" w:hanging="411"/>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580" w:hanging="411"/>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 w:lineRule="exact"/>
        <w:rPr>
          <w:rFonts w:ascii="Arial" w:cs="Arial" w:eastAsia="Arial" w:hAnsi="Arial"/>
          <w:sz w:val="18"/>
          <w:szCs w:val="18"/>
          <w:color w:val="auto"/>
        </w:rPr>
      </w:pPr>
    </w:p>
    <w:p>
      <w:pPr>
        <w:ind w:left="1580" w:hanging="411"/>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w:t>
      </w:r>
    </w:p>
    <w:p>
      <w:pPr>
        <w:spacing w:after="0" w:line="9"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0-11 (Set forth amount on which filing fee is calculated and state how it was determined):</w:t>
      </w:r>
    </w:p>
    <w:p>
      <w:pPr>
        <w:spacing w:after="0" w:line="9" w:lineRule="exact"/>
        <w:rPr>
          <w:rFonts w:ascii="Arial" w:cs="Arial" w:eastAsia="Arial" w:hAnsi="Arial"/>
          <w:sz w:val="18"/>
          <w:szCs w:val="18"/>
          <w:color w:val="auto"/>
        </w:rPr>
      </w:pPr>
    </w:p>
    <w:p>
      <w:pPr>
        <w:ind w:left="1580" w:hanging="411"/>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580" w:hanging="411"/>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sz w:val="24"/>
          <w:szCs w:val="24"/>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3" w:lineRule="exact"/>
        <w:rPr>
          <w:sz w:val="24"/>
          <w:szCs w:val="24"/>
          <w:color w:val="auto"/>
        </w:rPr>
      </w:pPr>
    </w:p>
    <w:p>
      <w:pPr>
        <w:ind w:left="1160" w:hanging="691"/>
        <w:spacing w:after="0" w:line="290" w:lineRule="auto"/>
        <w:tabs>
          <w:tab w:leader="none" w:pos="668"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offering fee was paid previously. Identify the previous filing by registration statement number, or the Form or Schedule and the date of the filing.</w:t>
      </w:r>
    </w:p>
    <w:p>
      <w:pPr>
        <w:spacing w:after="0" w:line="188" w:lineRule="exact"/>
        <w:rPr>
          <w:rFonts w:ascii="Arial" w:cs="Arial" w:eastAsia="Arial" w:hAnsi="Arial"/>
          <w:sz w:val="18"/>
          <w:szCs w:val="18"/>
          <w:color w:val="auto"/>
        </w:rPr>
      </w:pPr>
    </w:p>
    <w:p>
      <w:pPr>
        <w:ind w:left="1580" w:hanging="411"/>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580" w:hanging="411"/>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580" w:hanging="411"/>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580" w:hanging="411"/>
        <w:spacing w:after="0"/>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706" w:right="4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2472690</wp:posOffset>
            </wp:positionH>
            <wp:positionV relativeFrom="page">
              <wp:posOffset>800735</wp:posOffset>
            </wp:positionV>
            <wp:extent cx="2615565" cy="926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61556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COMSTOCK RESOURCES,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Notice of 2010 Annual Meeting of Stockholders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Please Complete, Sign,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-153035</wp:posOffset>
            </wp:positionV>
            <wp:extent cx="2902585" cy="330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2585" cy="3302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And Return Your Proxy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Tuesday, May 18, 2010</w:t>
      </w:r>
    </w:p>
    <w:p>
      <w:pPr>
        <w:spacing w:after="0" w:line="4"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10:00 A.M.</w:t>
      </w:r>
    </w:p>
    <w:p>
      <w:pPr>
        <w:ind w:left="4240"/>
        <w:spacing w:after="0" w:line="230" w:lineRule="auto"/>
        <w:rPr>
          <w:sz w:val="20"/>
          <w:szCs w:val="20"/>
          <w:color w:val="auto"/>
        </w:rPr>
      </w:pPr>
      <w:r>
        <w:rPr>
          <w:rFonts w:ascii="Arial" w:cs="Arial" w:eastAsia="Arial" w:hAnsi="Arial"/>
          <w:sz w:val="22"/>
          <w:szCs w:val="22"/>
          <w:b w:val="1"/>
          <w:bCs w:val="1"/>
          <w:color w:val="auto"/>
        </w:rPr>
        <w:t>Comstock Resources, Inc.</w:t>
      </w:r>
    </w:p>
    <w:p>
      <w:pPr>
        <w:ind w:left="4240"/>
        <w:spacing w:after="0" w:line="231" w:lineRule="auto"/>
        <w:rPr>
          <w:sz w:val="20"/>
          <w:szCs w:val="20"/>
          <w:color w:val="auto"/>
        </w:rPr>
      </w:pPr>
      <w:r>
        <w:rPr>
          <w:rFonts w:ascii="Arial" w:cs="Arial" w:eastAsia="Arial" w:hAnsi="Arial"/>
          <w:sz w:val="22"/>
          <w:szCs w:val="22"/>
          <w:b w:val="1"/>
          <w:bCs w:val="1"/>
          <w:color w:val="auto"/>
        </w:rPr>
        <w:t>Corporate Headquarters</w:t>
      </w:r>
    </w:p>
    <w:p>
      <w:pPr>
        <w:ind w:left="4240"/>
        <w:spacing w:after="0"/>
        <w:rPr>
          <w:sz w:val="20"/>
          <w:szCs w:val="20"/>
          <w:color w:val="auto"/>
        </w:rPr>
      </w:pPr>
      <w:r>
        <w:rPr>
          <w:rFonts w:ascii="Arial" w:cs="Arial" w:eastAsia="Arial" w:hAnsi="Arial"/>
          <w:sz w:val="19"/>
          <w:szCs w:val="19"/>
          <w:b w:val="1"/>
          <w:bCs w:val="1"/>
          <w:color w:val="auto"/>
        </w:rPr>
        <w:t>5300 Town and Country Blvd.</w:t>
      </w:r>
    </w:p>
    <w:p>
      <w:pPr>
        <w:spacing w:after="0" w:line="15"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Suite 300</w:t>
      </w:r>
    </w:p>
    <w:p>
      <w:pPr>
        <w:ind w:left="4240"/>
        <w:spacing w:after="0"/>
        <w:rPr>
          <w:sz w:val="20"/>
          <w:szCs w:val="20"/>
          <w:color w:val="auto"/>
        </w:rPr>
      </w:pPr>
      <w:r>
        <w:rPr>
          <w:rFonts w:ascii="Arial" w:cs="Arial" w:eastAsia="Arial" w:hAnsi="Arial"/>
          <w:sz w:val="22"/>
          <w:szCs w:val="22"/>
          <w:b w:val="1"/>
          <w:bCs w:val="1"/>
          <w:color w:val="auto"/>
        </w:rPr>
        <w:t>Frisco, Texas 75034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1485900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800735</wp:posOffset>
            </wp:positionV>
            <wp:extent cx="1929765" cy="66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297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19,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Comstock Stockholder: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pleased to invite you to attend the Annual Meeting of Stockholders of Comstock Resources, Inc. The meeting will be held at 10:00 a.m., local time, on Tuesday, May 18, 2010, at the Company′s headquarters at 5300 Town and Country Blvd., Suite 300 in Frisco, Texas. Your Board of Directors and management look forward to greeting those of you who are able to attend in person. We have included a map and directions to the meeting site on the back page of this proxy statement.</w:t>
      </w:r>
    </w:p>
    <w:p>
      <w:pPr>
        <w:spacing w:after="0" w:line="214"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You will find enclosed the Notice of Annual Meeting of Stockholders on the following page that identifies two proposals for your action.</w:t>
      </w:r>
    </w:p>
    <w:p>
      <w:pPr>
        <w:spacing w:after="0" w:line="263" w:lineRule="exact"/>
        <w:rPr>
          <w:rFonts w:ascii="Arial" w:cs="Arial" w:eastAsia="Arial" w:hAnsi="Arial"/>
          <w:sz w:val="17"/>
          <w:szCs w:val="17"/>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meeting we will present a report on our 2009 operating results and on other matters of interest to you.</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find enclosed our 2009 Annual Report, which includes our financial statements.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Your vote is important. The Board of Directors appreciates and encourages stockholder participation in our affairs. Whether or not you can attend the meeting, please read the Proxy Statement carefully, then vote through the internet, by telephone or sign, date and return the enclosed proxy promptly in the envelope provided, so that your shares will be represented at the meeting.</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behalf of the Board of Directors, thank you for your cooperation and continued support.</w:t>
      </w:r>
    </w:p>
    <w:p>
      <w:pPr>
        <w:spacing w:after="0" w:line="25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169545</wp:posOffset>
            </wp:positionV>
            <wp:extent cx="128651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65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 Jay Allison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2267585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COMSTOCK RESOURCES, INC.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5300 Town and Country Blvd.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500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Frisco, Texas 75034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18, 2010</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2010 Annual Meeting of Stockholders of Comstock Resources, Inc. will be held at the company′s headquarters at 5300 Town and Country Blvd, Suite 300 in Frisco, Texas, on Tuesday, May 18, 2010, at 10:00 a.m., local time, for the following purposes:</w:t>
      </w:r>
    </w:p>
    <w:p>
      <w:pPr>
        <w:spacing w:after="0" w:line="197" w:lineRule="exact"/>
        <w:rPr>
          <w:sz w:val="20"/>
          <w:szCs w:val="20"/>
          <w:color w:val="auto"/>
        </w:rPr>
      </w:pPr>
    </w:p>
    <w:p>
      <w:pPr>
        <w:ind w:left="920" w:hanging="345"/>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two Class A directors named in the proxy statement to serve a term of three years until their successors are duly elected and qualified;</w:t>
      </w:r>
    </w:p>
    <w:p>
      <w:pPr>
        <w:spacing w:after="0" w:line="275" w:lineRule="exact"/>
        <w:rPr>
          <w:rFonts w:ascii="Arial" w:cs="Arial" w:eastAsia="Arial" w:hAnsi="Arial"/>
          <w:sz w:val="16"/>
          <w:szCs w:val="16"/>
          <w:color w:val="auto"/>
        </w:rPr>
      </w:pPr>
    </w:p>
    <w:p>
      <w:pPr>
        <w:ind w:left="920" w:hanging="345"/>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2010; and</w:t>
      </w:r>
    </w:p>
    <w:p>
      <w:pPr>
        <w:spacing w:after="0" w:line="252" w:lineRule="exact"/>
        <w:rPr>
          <w:rFonts w:ascii="Arial" w:cs="Arial" w:eastAsia="Arial" w:hAnsi="Arial"/>
          <w:sz w:val="18"/>
          <w:szCs w:val="18"/>
          <w:color w:val="auto"/>
        </w:rPr>
      </w:pPr>
    </w:p>
    <w:p>
      <w:pPr>
        <w:ind w:left="920" w:hanging="345"/>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adjournments thereof.</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must be a stockholder of record at the close of business on April 16, 2010 to be entitled to vote at the annual meeting.</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Your participation in the company′s affairs is important. Our officers will be present to respond to questions from stockholders. To ensure your representation, if you do not expect to be present at the meeting, please vote through the internet, by telephone or sign and date the enclosed proxy card and return it to us promptly. A stamped envelope has been provided for your convenience. The prompt return of proxies will ensure a quorum and save us the expense of future solicitation.</w:t>
      </w:r>
    </w:p>
    <w:p>
      <w:pPr>
        <w:spacing w:after="0" w:line="21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152400</wp:posOffset>
            </wp:positionV>
            <wp:extent cx="128651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65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Roland O. Burns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19, 2010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TO ENSURE YOUR REPRESENTATION AT THE MEETING, PLEASE MARK, SIGN AND DATE THE ENCLOSED PROXY CARD AND RETURN IT AS PROMPTLY AS POSSIBLE IN THE ENCLOSED ENVELOPE. NO POSTAGE NEED BE AFFIXED IF MAILED IN THE UNITED STATES. IF YOU ATTEND THE MEETING AND WISH TO VOTE IN PERSON, YOU MAY WITHDRAW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1476375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00" w:type="dxa"/>
            <w:vAlign w:val="bottom"/>
          </w:tcPr>
          <w:p>
            <w:pPr>
              <w:jc w:val="center"/>
              <w:ind w:right="2350"/>
              <w:spacing w:after="0"/>
              <w:rPr>
                <w:sz w:val="20"/>
                <w:szCs w:val="20"/>
                <w:color w:val="auto"/>
              </w:rPr>
            </w:pPr>
            <w:r>
              <w:rPr>
                <w:rFonts w:ascii="Arial" w:cs="Arial" w:eastAsia="Arial" w:hAnsi="Arial"/>
                <w:sz w:val="18"/>
                <w:szCs w:val="18"/>
                <w:b w:val="1"/>
                <w:bCs w:val="1"/>
                <w:color w:val="auto"/>
                <w:w w:val="99"/>
              </w:rPr>
              <w:t>PROXY STATEMENT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00" w:type="dxa"/>
            <w:vAlign w:val="bottom"/>
          </w:tcPr>
          <w:p>
            <w:pPr>
              <w:jc w:val="center"/>
              <w:ind w:right="2330"/>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140" w:type="dxa"/>
            <w:vAlign w:val="bottom"/>
          </w:tcPr>
          <w:p>
            <w:pPr>
              <w:ind w:left="4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33"/>
        </w:trPr>
        <w:tc>
          <w:tcPr>
            <w:tcW w:w="10280" w:type="dxa"/>
            <w:vAlign w:val="bottom"/>
            <w:gridSpan w:val="11"/>
            <w:vMerge w:val="restart"/>
          </w:tcPr>
          <w:p>
            <w:pPr>
              <w:spacing w:after="0"/>
              <w:rPr>
                <w:sz w:val="20"/>
                <w:szCs w:val="20"/>
                <w:color w:val="auto"/>
              </w:rPr>
            </w:pPr>
            <w:r>
              <w:rPr>
                <w:rFonts w:ascii="Arial" w:cs="Arial" w:eastAsia="Arial" w:hAnsi="Arial"/>
                <w:sz w:val="14"/>
                <w:szCs w:val="14"/>
                <w:color w:val="auto"/>
              </w:rPr>
              <w:t>INTRODUCTION</w:t>
            </w: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0280" w:type="dxa"/>
            <w:vAlign w:val="bottom"/>
            <w:gridSpan w:val="11"/>
            <w:vMerge w:val="continue"/>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4"/>
                <w:szCs w:val="14"/>
                <w:color w:val="auto"/>
                <w:w w:val="76"/>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140" w:type="dxa"/>
            <w:vAlign w:val="bottom"/>
            <w:vMerge w:val="restart"/>
          </w:tcPr>
          <w:p>
            <w:pPr>
              <w:jc w:val="center"/>
              <w:spacing w:after="0" w:line="143" w:lineRule="exact"/>
              <w:rPr>
                <w:sz w:val="20"/>
                <w:szCs w:val="20"/>
                <w:color w:val="auto"/>
              </w:rPr>
            </w:pPr>
            <w:r>
              <w:rPr>
                <w:rFonts w:ascii="Arial" w:cs="Arial" w:eastAsia="Arial" w:hAnsi="Arial"/>
                <w:sz w:val="14"/>
                <w:szCs w:val="14"/>
                <w:color w:val="auto"/>
                <w:w w:val="76"/>
              </w:rPr>
              <w:t>1</w:t>
            </w: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10260" w:type="dxa"/>
            <w:vAlign w:val="bottom"/>
            <w:gridSpan w:val="10"/>
          </w:tcPr>
          <w:p>
            <w:pPr>
              <w:spacing w:after="0" w:line="123" w:lineRule="exact"/>
              <w:rPr>
                <w:sz w:val="20"/>
                <w:szCs w:val="20"/>
                <w:color w:val="auto"/>
              </w:rPr>
            </w:pPr>
            <w:r>
              <w:rPr>
                <w:rFonts w:ascii="Arial" w:cs="Arial" w:eastAsia="Arial" w:hAnsi="Arial"/>
                <w:sz w:val="14"/>
                <w:szCs w:val="14"/>
                <w:color w:val="auto"/>
              </w:rPr>
              <w:t>This Proxy Solicitation</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Householding Information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1</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Electronic Availability of Proxy Materials for 2010 Annual Meeting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2</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The Annual Meeting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2</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Stockholders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2</w:t>
            </w:r>
          </w:p>
        </w:tc>
        <w:tc>
          <w:tcPr>
            <w:tcW w:w="0" w:type="dxa"/>
            <w:vAlign w:val="bottom"/>
          </w:tcPr>
          <w:p>
            <w:pPr>
              <w:spacing w:after="0"/>
              <w:rPr>
                <w:sz w:val="1"/>
                <w:szCs w:val="1"/>
                <w:color w:val="auto"/>
              </w:rPr>
            </w:pPr>
          </w:p>
        </w:tc>
      </w:tr>
      <w:tr>
        <w:trPr>
          <w:trHeight w:val="154"/>
        </w:trPr>
        <w:tc>
          <w:tcPr>
            <w:tcW w:w="560" w:type="dxa"/>
            <w:vAlign w:val="bottom"/>
            <w:tcBorders>
              <w:bottom w:val="single" w:sz="8" w:color="auto"/>
            </w:tcBorders>
            <w:gridSpan w:val="2"/>
          </w:tcPr>
          <w:p>
            <w:pPr>
              <w:spacing w:after="0" w:line="154" w:lineRule="exact"/>
              <w:rPr>
                <w:sz w:val="20"/>
                <w:szCs w:val="20"/>
                <w:color w:val="auto"/>
              </w:rPr>
            </w:pPr>
            <w:r>
              <w:rPr>
                <w:rFonts w:ascii="Arial" w:cs="Arial" w:eastAsia="Arial" w:hAnsi="Arial"/>
                <w:sz w:val="14"/>
                <w:szCs w:val="14"/>
                <w:color w:val="auto"/>
              </w:rPr>
              <w:t>VOTING</w:t>
            </w:r>
          </w:p>
        </w:tc>
        <w:tc>
          <w:tcPr>
            <w:tcW w:w="9720" w:type="dxa"/>
            <w:vAlign w:val="bottom"/>
            <w:gridSpan w:val="9"/>
          </w:tcPr>
          <w:p>
            <w:pPr>
              <w:spacing w:after="0"/>
              <w:rPr>
                <w:sz w:val="13"/>
                <w:szCs w:val="13"/>
                <w:color w:val="auto"/>
              </w:rPr>
            </w:pPr>
          </w:p>
        </w:tc>
        <w:tc>
          <w:tcPr>
            <w:tcW w:w="1140" w:type="dxa"/>
            <w:vAlign w:val="bottom"/>
          </w:tcPr>
          <w:p>
            <w:pPr>
              <w:jc w:val="center"/>
              <w:spacing w:after="0" w:line="154" w:lineRule="exact"/>
              <w:rPr>
                <w:sz w:val="20"/>
                <w:szCs w:val="20"/>
                <w:color w:val="auto"/>
              </w:rPr>
            </w:pPr>
            <w:r>
              <w:rPr>
                <w:rFonts w:ascii="Arial" w:cs="Arial" w:eastAsia="Arial" w:hAnsi="Arial"/>
                <w:sz w:val="14"/>
                <w:szCs w:val="14"/>
                <w:color w:val="auto"/>
                <w:w w:val="76"/>
              </w:rPr>
              <w:t>2</w:t>
            </w:r>
          </w:p>
        </w:tc>
        <w:tc>
          <w:tcPr>
            <w:tcW w:w="0" w:type="dxa"/>
            <w:vAlign w:val="bottom"/>
          </w:tcPr>
          <w:p>
            <w:pPr>
              <w:spacing w:after="0"/>
              <w:rPr>
                <w:sz w:val="1"/>
                <w:szCs w:val="1"/>
                <w:color w:val="auto"/>
              </w:rPr>
            </w:pPr>
          </w:p>
        </w:tc>
      </w:tr>
      <w:tr>
        <w:trPr>
          <w:trHeight w:val="123"/>
        </w:trPr>
        <w:tc>
          <w:tcPr>
            <w:tcW w:w="10280" w:type="dxa"/>
            <w:vAlign w:val="bottom"/>
            <w:gridSpan w:val="11"/>
          </w:tcPr>
          <w:p>
            <w:pPr>
              <w:spacing w:after="0" w:line="123" w:lineRule="exact"/>
              <w:rPr>
                <w:sz w:val="20"/>
                <w:szCs w:val="20"/>
                <w:color w:val="auto"/>
              </w:rPr>
            </w:pPr>
            <w:r>
              <w:rPr>
                <w:rFonts w:ascii="Arial" w:cs="Arial" w:eastAsia="Arial" w:hAnsi="Arial"/>
                <w:sz w:val="14"/>
                <w:szCs w:val="14"/>
                <w:color w:val="auto"/>
              </w:rPr>
              <w:t>How to Vote Your Shares</w:t>
            </w:r>
          </w:p>
        </w:tc>
        <w:tc>
          <w:tcPr>
            <w:tcW w:w="1140" w:type="dxa"/>
            <w:vAlign w:val="bottom"/>
          </w:tcPr>
          <w:p>
            <w:pPr>
              <w:jc w:val="center"/>
              <w:spacing w:after="0" w:line="123" w:lineRule="exact"/>
              <w:rPr>
                <w:sz w:val="20"/>
                <w:szCs w:val="20"/>
                <w:color w:val="auto"/>
              </w:rPr>
            </w:pPr>
            <w:r>
              <w:rPr>
                <w:rFonts w:ascii="Arial" w:cs="Arial" w:eastAsia="Arial" w:hAnsi="Arial"/>
                <w:sz w:val="14"/>
                <w:szCs w:val="14"/>
                <w:color w:val="auto"/>
                <w:w w:val="76"/>
              </w:rPr>
              <w:t>2</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Changing Your Vote</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3</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Where to Find Voting Results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3</w:t>
            </w:r>
          </w:p>
        </w:tc>
        <w:tc>
          <w:tcPr>
            <w:tcW w:w="0" w:type="dxa"/>
            <w:vAlign w:val="bottom"/>
          </w:tcPr>
          <w:p>
            <w:pPr>
              <w:spacing w:after="0"/>
              <w:rPr>
                <w:sz w:val="1"/>
                <w:szCs w:val="1"/>
                <w:color w:val="auto"/>
              </w:rPr>
            </w:pPr>
          </w:p>
        </w:tc>
      </w:tr>
      <w:tr>
        <w:trPr>
          <w:trHeight w:val="154"/>
        </w:trPr>
        <w:tc>
          <w:tcPr>
            <w:tcW w:w="10280" w:type="dxa"/>
            <w:vAlign w:val="bottom"/>
            <w:gridSpan w:val="11"/>
          </w:tcPr>
          <w:p>
            <w:pPr>
              <w:spacing w:after="0" w:line="154" w:lineRule="exact"/>
              <w:rPr>
                <w:sz w:val="20"/>
                <w:szCs w:val="20"/>
                <w:color w:val="auto"/>
              </w:rPr>
            </w:pPr>
            <w:r>
              <w:rPr>
                <w:rFonts w:ascii="Arial" w:cs="Arial" w:eastAsia="Arial" w:hAnsi="Arial"/>
                <w:sz w:val="14"/>
                <w:szCs w:val="14"/>
                <w:color w:val="auto"/>
              </w:rPr>
              <w:t>SECURITY OWNERSHIP OF CERTAIN BENEFICIAL</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76"/>
              </w:rPr>
              <w:t>4</w:t>
            </w:r>
          </w:p>
        </w:tc>
        <w:tc>
          <w:tcPr>
            <w:tcW w:w="0" w:type="dxa"/>
            <w:vAlign w:val="bottom"/>
          </w:tcPr>
          <w:p>
            <w:pPr>
              <w:spacing w:after="0"/>
              <w:rPr>
                <w:sz w:val="1"/>
                <w:szCs w:val="1"/>
                <w:color w:val="auto"/>
              </w:rPr>
            </w:pPr>
          </w:p>
        </w:tc>
      </w:tr>
      <w:tr>
        <w:trPr>
          <w:trHeight w:val="129"/>
        </w:trPr>
        <w:tc>
          <w:tcPr>
            <w:tcW w:w="2040" w:type="dxa"/>
            <w:vAlign w:val="bottom"/>
            <w:tcBorders>
              <w:top w:val="single" w:sz="8" w:color="auto"/>
              <w:bottom w:val="single" w:sz="8" w:color="auto"/>
            </w:tcBorders>
            <w:gridSpan w:val="6"/>
          </w:tcPr>
          <w:p>
            <w:pPr>
              <w:spacing w:after="0" w:line="129" w:lineRule="exact"/>
              <w:rPr>
                <w:sz w:val="20"/>
                <w:szCs w:val="20"/>
                <w:color w:val="auto"/>
              </w:rPr>
            </w:pPr>
            <w:r>
              <w:rPr>
                <w:rFonts w:ascii="Arial" w:cs="Arial" w:eastAsia="Arial" w:hAnsi="Arial"/>
                <w:sz w:val="14"/>
                <w:szCs w:val="14"/>
                <w:color w:val="auto"/>
              </w:rPr>
              <w:t>OWNERS AND MANAGEMENT</w:t>
            </w:r>
          </w:p>
        </w:tc>
        <w:tc>
          <w:tcPr>
            <w:tcW w:w="1280" w:type="dxa"/>
            <w:vAlign w:val="bottom"/>
            <w:tcBorders>
              <w:top w:val="single" w:sz="8" w:color="auto"/>
            </w:tcBorders>
            <w:gridSpan w:val="3"/>
          </w:tcPr>
          <w:p>
            <w:pPr>
              <w:spacing w:after="0"/>
              <w:rPr>
                <w:sz w:val="11"/>
                <w:szCs w:val="11"/>
                <w:color w:val="auto"/>
              </w:rPr>
            </w:pPr>
          </w:p>
        </w:tc>
        <w:tc>
          <w:tcPr>
            <w:tcW w:w="26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280" w:type="dxa"/>
            <w:vAlign w:val="bottom"/>
            <w:gridSpan w:val="11"/>
          </w:tcPr>
          <w:p>
            <w:pPr>
              <w:spacing w:after="0" w:line="129" w:lineRule="exact"/>
              <w:rPr>
                <w:sz w:val="20"/>
                <w:szCs w:val="20"/>
                <w:color w:val="auto"/>
              </w:rPr>
            </w:pPr>
            <w:r>
              <w:rPr>
                <w:rFonts w:ascii="Arial" w:cs="Arial" w:eastAsia="Arial" w:hAnsi="Arial"/>
                <w:sz w:val="14"/>
                <w:szCs w:val="14"/>
                <w:color w:val="auto"/>
              </w:rPr>
              <w:t>PROPOSALS TO BE VOTED UPON</w:t>
            </w:r>
          </w:p>
        </w:tc>
        <w:tc>
          <w:tcPr>
            <w:tcW w:w="1140" w:type="dxa"/>
            <w:vAlign w:val="bottom"/>
          </w:tcPr>
          <w:p>
            <w:pPr>
              <w:jc w:val="center"/>
              <w:spacing w:after="0" w:line="129" w:lineRule="exact"/>
              <w:rPr>
                <w:sz w:val="20"/>
                <w:szCs w:val="20"/>
                <w:color w:val="auto"/>
              </w:rPr>
            </w:pPr>
            <w:r>
              <w:rPr>
                <w:rFonts w:ascii="Arial" w:cs="Arial" w:eastAsia="Arial" w:hAnsi="Arial"/>
                <w:sz w:val="14"/>
                <w:szCs w:val="14"/>
                <w:color w:val="auto"/>
                <w:w w:val="76"/>
              </w:rPr>
              <w:t>5</w:t>
            </w:r>
          </w:p>
        </w:tc>
        <w:tc>
          <w:tcPr>
            <w:tcW w:w="0" w:type="dxa"/>
            <w:vAlign w:val="bottom"/>
          </w:tcPr>
          <w:p>
            <w:pPr>
              <w:spacing w:after="0"/>
              <w:rPr>
                <w:sz w:val="1"/>
                <w:szCs w:val="1"/>
                <w:color w:val="auto"/>
              </w:rPr>
            </w:pPr>
          </w:p>
        </w:tc>
      </w:tr>
      <w:tr>
        <w:trPr>
          <w:trHeight w:val="123"/>
        </w:trPr>
        <w:tc>
          <w:tcPr>
            <w:tcW w:w="2220" w:type="dxa"/>
            <w:vAlign w:val="bottom"/>
            <w:tcBorders>
              <w:top w:val="single" w:sz="8" w:color="auto"/>
            </w:tcBorders>
            <w:gridSpan w:val="7"/>
          </w:tcPr>
          <w:p>
            <w:pPr>
              <w:spacing w:after="0" w:line="123" w:lineRule="exact"/>
              <w:rPr>
                <w:sz w:val="20"/>
                <w:szCs w:val="20"/>
                <w:color w:val="auto"/>
              </w:rPr>
            </w:pPr>
            <w:r>
              <w:rPr>
                <w:rFonts w:ascii="Arial" w:cs="Arial" w:eastAsia="Arial" w:hAnsi="Arial"/>
                <w:sz w:val="14"/>
                <w:szCs w:val="14"/>
                <w:color w:val="auto"/>
              </w:rPr>
              <w:t>(1) Election of Directors</w:t>
            </w:r>
          </w:p>
        </w:tc>
        <w:tc>
          <w:tcPr>
            <w:tcW w:w="340" w:type="dxa"/>
            <w:vAlign w:val="bottom"/>
          </w:tcPr>
          <w:p>
            <w:pPr>
              <w:spacing w:after="0"/>
              <w:rPr>
                <w:sz w:val="10"/>
                <w:szCs w:val="10"/>
                <w:color w:val="auto"/>
              </w:rPr>
            </w:pPr>
          </w:p>
        </w:tc>
        <w:tc>
          <w:tcPr>
            <w:tcW w:w="1020" w:type="dxa"/>
            <w:vAlign w:val="bottom"/>
            <w:gridSpan w:val="2"/>
          </w:tcPr>
          <w:p>
            <w:pPr>
              <w:spacing w:after="0"/>
              <w:rPr>
                <w:sz w:val="10"/>
                <w:szCs w:val="10"/>
                <w:color w:val="auto"/>
              </w:rPr>
            </w:pPr>
          </w:p>
        </w:tc>
        <w:tc>
          <w:tcPr>
            <w:tcW w:w="6700" w:type="dxa"/>
            <w:vAlign w:val="bottom"/>
          </w:tcPr>
          <w:p>
            <w:pPr>
              <w:spacing w:after="0"/>
              <w:rPr>
                <w:sz w:val="10"/>
                <w:szCs w:val="10"/>
                <w:color w:val="auto"/>
              </w:rPr>
            </w:pPr>
          </w:p>
        </w:tc>
        <w:tc>
          <w:tcPr>
            <w:tcW w:w="1140" w:type="dxa"/>
            <w:vAlign w:val="bottom"/>
          </w:tcPr>
          <w:p>
            <w:pPr>
              <w:jc w:val="center"/>
              <w:spacing w:after="0" w:line="123" w:lineRule="exact"/>
              <w:rPr>
                <w:sz w:val="20"/>
                <w:szCs w:val="20"/>
                <w:color w:val="auto"/>
              </w:rPr>
            </w:pPr>
            <w:r>
              <w:rPr>
                <w:rFonts w:ascii="Arial" w:cs="Arial" w:eastAsia="Arial" w:hAnsi="Arial"/>
                <w:sz w:val="14"/>
                <w:szCs w:val="14"/>
                <w:color w:val="auto"/>
                <w:w w:val="76"/>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720" w:type="dxa"/>
            <w:vAlign w:val="bottom"/>
            <w:gridSpan w:val="9"/>
          </w:tcPr>
          <w:p>
            <w:pPr>
              <w:ind w:left="260"/>
              <w:spacing w:after="0" w:line="149" w:lineRule="exact"/>
              <w:rPr>
                <w:sz w:val="20"/>
                <w:szCs w:val="20"/>
                <w:color w:val="auto"/>
              </w:rPr>
            </w:pPr>
            <w:r>
              <w:rPr>
                <w:rFonts w:ascii="Arial" w:cs="Arial" w:eastAsia="Arial" w:hAnsi="Arial"/>
                <w:sz w:val="14"/>
                <w:szCs w:val="14"/>
                <w:color w:val="auto"/>
              </w:rPr>
              <w:t>Nominees for Three-Year Term</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720" w:type="dxa"/>
            <w:vAlign w:val="bottom"/>
            <w:gridSpan w:val="9"/>
          </w:tcPr>
          <w:p>
            <w:pPr>
              <w:ind w:left="260"/>
              <w:spacing w:after="0" w:line="149" w:lineRule="exact"/>
              <w:rPr>
                <w:sz w:val="20"/>
                <w:szCs w:val="20"/>
                <w:color w:val="auto"/>
              </w:rPr>
            </w:pPr>
            <w:r>
              <w:rPr>
                <w:rFonts w:ascii="Arial" w:cs="Arial" w:eastAsia="Arial" w:hAnsi="Arial"/>
                <w:sz w:val="14"/>
                <w:szCs w:val="14"/>
                <w:color w:val="auto"/>
              </w:rPr>
              <w:t>Directors Continuing in Office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(2) Ratification of Appointment of Independent Registered Public Accounting Firm</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7</w:t>
            </w:r>
          </w:p>
        </w:tc>
        <w:tc>
          <w:tcPr>
            <w:tcW w:w="0" w:type="dxa"/>
            <w:vAlign w:val="bottom"/>
          </w:tcPr>
          <w:p>
            <w:pPr>
              <w:spacing w:after="0"/>
              <w:rPr>
                <w:sz w:val="1"/>
                <w:szCs w:val="1"/>
                <w:color w:val="auto"/>
              </w:rPr>
            </w:pPr>
          </w:p>
        </w:tc>
      </w:tr>
      <w:tr>
        <w:trPr>
          <w:trHeight w:val="154"/>
        </w:trPr>
        <w:tc>
          <w:tcPr>
            <w:tcW w:w="10280" w:type="dxa"/>
            <w:vAlign w:val="bottom"/>
            <w:gridSpan w:val="11"/>
          </w:tcPr>
          <w:p>
            <w:pPr>
              <w:spacing w:after="0" w:line="154" w:lineRule="exact"/>
              <w:rPr>
                <w:sz w:val="20"/>
                <w:szCs w:val="20"/>
                <w:color w:val="auto"/>
              </w:rPr>
            </w:pPr>
            <w:r>
              <w:rPr>
                <w:rFonts w:ascii="Arial" w:cs="Arial" w:eastAsia="Arial" w:hAnsi="Arial"/>
                <w:sz w:val="14"/>
                <w:szCs w:val="14"/>
                <w:color w:val="auto"/>
              </w:rPr>
              <w:t>CORPORATE GOVERNANCE MATTERS</w:t>
            </w:r>
          </w:p>
        </w:tc>
        <w:tc>
          <w:tcPr>
            <w:tcW w:w="1140" w:type="dxa"/>
            <w:vAlign w:val="bottom"/>
          </w:tcPr>
          <w:p>
            <w:pPr>
              <w:jc w:val="center"/>
              <w:spacing w:after="0" w:line="154" w:lineRule="exact"/>
              <w:rPr>
                <w:sz w:val="20"/>
                <w:szCs w:val="20"/>
                <w:color w:val="auto"/>
              </w:rPr>
            </w:pPr>
            <w:r>
              <w:rPr>
                <w:rFonts w:ascii="Arial" w:cs="Arial" w:eastAsia="Arial" w:hAnsi="Arial"/>
                <w:sz w:val="14"/>
                <w:szCs w:val="14"/>
                <w:color w:val="auto"/>
                <w:w w:val="76"/>
              </w:rPr>
              <w:t>8</w:t>
            </w:r>
          </w:p>
        </w:tc>
        <w:tc>
          <w:tcPr>
            <w:tcW w:w="0" w:type="dxa"/>
            <w:vAlign w:val="bottom"/>
          </w:tcPr>
          <w:p>
            <w:pPr>
              <w:spacing w:after="0"/>
              <w:rPr>
                <w:sz w:val="1"/>
                <w:szCs w:val="1"/>
                <w:color w:val="auto"/>
              </w:rPr>
            </w:pPr>
          </w:p>
        </w:tc>
      </w:tr>
      <w:tr>
        <w:trPr>
          <w:trHeight w:val="123"/>
        </w:trPr>
        <w:tc>
          <w:tcPr>
            <w:tcW w:w="2560" w:type="dxa"/>
            <w:vAlign w:val="bottom"/>
            <w:tcBorders>
              <w:top w:val="single" w:sz="8" w:color="auto"/>
            </w:tcBorders>
            <w:gridSpan w:val="8"/>
          </w:tcPr>
          <w:p>
            <w:pPr>
              <w:spacing w:after="0" w:line="123" w:lineRule="exact"/>
              <w:rPr>
                <w:sz w:val="20"/>
                <w:szCs w:val="20"/>
                <w:color w:val="auto"/>
              </w:rPr>
            </w:pPr>
            <w:r>
              <w:rPr>
                <w:rFonts w:ascii="Arial" w:cs="Arial" w:eastAsia="Arial" w:hAnsi="Arial"/>
                <w:sz w:val="14"/>
                <w:szCs w:val="14"/>
                <w:color w:val="auto"/>
                <w:w w:val="93"/>
              </w:rPr>
              <w:t>Corporate Governance Principles and Code</w:t>
            </w:r>
          </w:p>
        </w:tc>
        <w:tc>
          <w:tcPr>
            <w:tcW w:w="7720" w:type="dxa"/>
            <w:vAlign w:val="bottom"/>
            <w:gridSpan w:val="3"/>
          </w:tcPr>
          <w:p>
            <w:pPr>
              <w:spacing w:after="0" w:line="123" w:lineRule="exact"/>
              <w:rPr>
                <w:sz w:val="20"/>
                <w:szCs w:val="20"/>
                <w:color w:val="auto"/>
              </w:rPr>
            </w:pPr>
            <w:r>
              <w:rPr>
                <w:rFonts w:ascii="Arial" w:cs="Arial" w:eastAsia="Arial" w:hAnsi="Arial"/>
                <w:sz w:val="14"/>
                <w:szCs w:val="14"/>
                <w:color w:val="auto"/>
              </w:rPr>
              <w:t>of Business Conduct and Ethics</w:t>
            </w:r>
          </w:p>
        </w:tc>
        <w:tc>
          <w:tcPr>
            <w:tcW w:w="1140" w:type="dxa"/>
            <w:vAlign w:val="bottom"/>
          </w:tcPr>
          <w:p>
            <w:pPr>
              <w:jc w:val="center"/>
              <w:spacing w:after="0" w:line="123" w:lineRule="exact"/>
              <w:rPr>
                <w:sz w:val="20"/>
                <w:szCs w:val="20"/>
                <w:color w:val="auto"/>
              </w:rPr>
            </w:pPr>
            <w:r>
              <w:rPr>
                <w:rFonts w:ascii="Arial" w:cs="Arial" w:eastAsia="Arial" w:hAnsi="Arial"/>
                <w:sz w:val="14"/>
                <w:szCs w:val="14"/>
                <w:color w:val="auto"/>
                <w:w w:val="76"/>
              </w:rPr>
              <w:t>8</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Determinations of Director Independence</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Board of Director Meetings and Committees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Board Leadership Structure</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Risk Oversight</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8</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Adoption of Written Charters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gridSpan w:val="10"/>
          </w:tcPr>
          <w:p>
            <w:pPr>
              <w:ind w:left="320"/>
              <w:spacing w:after="0" w:line="149" w:lineRule="exact"/>
              <w:rPr>
                <w:sz w:val="20"/>
                <w:szCs w:val="20"/>
                <w:color w:val="auto"/>
              </w:rPr>
            </w:pPr>
            <w:r>
              <w:rPr>
                <w:rFonts w:ascii="Arial" w:cs="Arial" w:eastAsia="Arial" w:hAnsi="Arial"/>
                <w:sz w:val="14"/>
                <w:szCs w:val="14"/>
                <w:color w:val="auto"/>
              </w:rPr>
              <w:t>Related Party Transactions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9</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Corporate Governance / Nominating Committee</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9</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Director Nominations Process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76"/>
              </w:rPr>
              <w:t>9</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Director Compensation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10</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Section 16(a) Beneficial Ownership Reporting Compliance</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11</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The Audit Committee</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11</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Audit Committee Report</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Compensation Committee</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13</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Compensation Committee Interlocks and Insider Participation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13</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Compensation Committee Report</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13</w:t>
            </w:r>
          </w:p>
        </w:tc>
        <w:tc>
          <w:tcPr>
            <w:tcW w:w="0" w:type="dxa"/>
            <w:vAlign w:val="bottom"/>
          </w:tcPr>
          <w:p>
            <w:pPr>
              <w:spacing w:after="0"/>
              <w:rPr>
                <w:sz w:val="1"/>
                <w:szCs w:val="1"/>
                <w:color w:val="auto"/>
              </w:rPr>
            </w:pPr>
          </w:p>
        </w:tc>
      </w:tr>
      <w:tr>
        <w:trPr>
          <w:trHeight w:val="154"/>
        </w:trPr>
        <w:tc>
          <w:tcPr>
            <w:tcW w:w="10280" w:type="dxa"/>
            <w:vAlign w:val="bottom"/>
            <w:gridSpan w:val="11"/>
          </w:tcPr>
          <w:p>
            <w:pPr>
              <w:spacing w:after="0" w:line="154" w:lineRule="exact"/>
              <w:rPr>
                <w:sz w:val="20"/>
                <w:szCs w:val="20"/>
                <w:color w:val="auto"/>
              </w:rPr>
            </w:pPr>
            <w:r>
              <w:rPr>
                <w:rFonts w:ascii="Arial" w:cs="Arial" w:eastAsia="Arial" w:hAnsi="Arial"/>
                <w:sz w:val="14"/>
                <w:szCs w:val="14"/>
                <w:color w:val="auto"/>
              </w:rPr>
              <w:t>EXECUTIVE COMPENSATION</w:t>
            </w:r>
          </w:p>
        </w:tc>
        <w:tc>
          <w:tcPr>
            <w:tcW w:w="1140" w:type="dxa"/>
            <w:vAlign w:val="bottom"/>
          </w:tcPr>
          <w:p>
            <w:pPr>
              <w:jc w:val="center"/>
              <w:spacing w:after="0" w:line="154" w:lineRule="exact"/>
              <w:rPr>
                <w:sz w:val="20"/>
                <w:szCs w:val="20"/>
                <w:color w:val="auto"/>
              </w:rPr>
            </w:pPr>
            <w:r>
              <w:rPr>
                <w:rFonts w:ascii="Arial" w:cs="Arial" w:eastAsia="Arial" w:hAnsi="Arial"/>
                <w:sz w:val="14"/>
                <w:szCs w:val="14"/>
                <w:color w:val="auto"/>
                <w:w w:val="89"/>
              </w:rPr>
              <w:t>14</w:t>
            </w:r>
          </w:p>
        </w:tc>
        <w:tc>
          <w:tcPr>
            <w:tcW w:w="0" w:type="dxa"/>
            <w:vAlign w:val="bottom"/>
          </w:tcPr>
          <w:p>
            <w:pPr>
              <w:spacing w:after="0"/>
              <w:rPr>
                <w:sz w:val="1"/>
                <w:szCs w:val="1"/>
                <w:color w:val="auto"/>
              </w:rPr>
            </w:pPr>
          </w:p>
        </w:tc>
      </w:tr>
      <w:tr>
        <w:trPr>
          <w:trHeight w:val="20"/>
        </w:trPr>
        <w:tc>
          <w:tcPr>
            <w:tcW w:w="1180" w:type="dxa"/>
            <w:vAlign w:val="bottom"/>
            <w:gridSpan w:val="4"/>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140" w:type="dxa"/>
            <w:vAlign w:val="bottom"/>
            <w:vMerge w:val="restart"/>
          </w:tcPr>
          <w:p>
            <w:pPr>
              <w:jc w:val="center"/>
              <w:spacing w:after="0" w:line="143" w:lineRule="exact"/>
              <w:rPr>
                <w:sz w:val="20"/>
                <w:szCs w:val="20"/>
                <w:color w:val="auto"/>
              </w:rPr>
            </w:pPr>
            <w:r>
              <w:rPr>
                <w:rFonts w:ascii="Arial" w:cs="Arial" w:eastAsia="Arial" w:hAnsi="Arial"/>
                <w:sz w:val="14"/>
                <w:szCs w:val="14"/>
                <w:color w:val="auto"/>
                <w:w w:val="89"/>
              </w:rPr>
              <w:t>14</w:t>
            </w:r>
          </w:p>
        </w:tc>
        <w:tc>
          <w:tcPr>
            <w:tcW w:w="0" w:type="dxa"/>
            <w:vAlign w:val="bottom"/>
          </w:tcPr>
          <w:p>
            <w:pPr>
              <w:spacing w:after="0" w:line="20" w:lineRule="exact"/>
              <w:rPr>
                <w:sz w:val="1"/>
                <w:szCs w:val="1"/>
                <w:color w:val="auto"/>
              </w:rPr>
            </w:pPr>
          </w:p>
        </w:tc>
      </w:tr>
      <w:tr>
        <w:trPr>
          <w:trHeight w:val="123"/>
        </w:trPr>
        <w:tc>
          <w:tcPr>
            <w:tcW w:w="10280" w:type="dxa"/>
            <w:vAlign w:val="bottom"/>
            <w:gridSpan w:val="11"/>
          </w:tcPr>
          <w:p>
            <w:pPr>
              <w:spacing w:after="0" w:line="123" w:lineRule="exact"/>
              <w:rPr>
                <w:sz w:val="20"/>
                <w:szCs w:val="20"/>
                <w:color w:val="auto"/>
              </w:rPr>
            </w:pPr>
            <w:r>
              <w:rPr>
                <w:rFonts w:ascii="Arial" w:cs="Arial" w:eastAsia="Arial" w:hAnsi="Arial"/>
                <w:sz w:val="14"/>
                <w:szCs w:val="14"/>
                <w:color w:val="auto"/>
              </w:rPr>
              <w:t>Compensation Discussion and Analysis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Overview and Objectives of Our Executive Compensation Program</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720" w:type="dxa"/>
            <w:vAlign w:val="bottom"/>
            <w:gridSpan w:val="9"/>
          </w:tcPr>
          <w:p>
            <w:pPr>
              <w:ind w:left="80"/>
              <w:spacing w:after="0" w:line="149" w:lineRule="exact"/>
              <w:rPr>
                <w:sz w:val="20"/>
                <w:szCs w:val="20"/>
                <w:color w:val="auto"/>
              </w:rPr>
            </w:pPr>
            <w:r>
              <w:rPr>
                <w:rFonts w:ascii="Arial" w:cs="Arial" w:eastAsia="Arial" w:hAnsi="Arial"/>
                <w:sz w:val="14"/>
                <w:szCs w:val="14"/>
                <w:color w:val="auto"/>
              </w:rPr>
              <w:t>Financial and Operating Performance During 2009</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14</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Compensation Components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Base Salary</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Bonuses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16</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Stock-Based Awards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16</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Supplemental Executive Retirement Plan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17</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Other Benefits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17</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Stock Ownership and Retention Requirements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17</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Limitation on Income Tax Deduction for Executive Compensation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18</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Risk and Our Employee Compensation Program</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18</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Summary Compensation Table</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19</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Grants of Plan-Based Awards in 2009</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Employment Agreements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Outstanding Equity Awards at December 31, 2009</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21</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Option Exercises and Stock Vested in 2009</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22</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Non-Qualified Deferred Compensation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22</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Potential Payments Upon Termination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gridSpan w:val="10"/>
          </w:tcPr>
          <w:p>
            <w:pPr>
              <w:ind w:left="320"/>
              <w:spacing w:after="0" w:line="149" w:lineRule="exact"/>
              <w:rPr>
                <w:sz w:val="20"/>
                <w:szCs w:val="20"/>
                <w:color w:val="auto"/>
              </w:rPr>
            </w:pPr>
            <w:r>
              <w:rPr>
                <w:rFonts w:ascii="Arial" w:cs="Arial" w:eastAsia="Arial" w:hAnsi="Arial"/>
                <w:sz w:val="14"/>
                <w:szCs w:val="14"/>
                <w:color w:val="auto"/>
              </w:rPr>
              <w:t>Involuntary Termination Without Cause or Termination With Good Reason</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60" w:type="dxa"/>
            <w:vAlign w:val="bottom"/>
            <w:gridSpan w:val="10"/>
          </w:tcPr>
          <w:p>
            <w:pPr>
              <w:ind w:left="320"/>
              <w:spacing w:after="0" w:line="149" w:lineRule="exact"/>
              <w:rPr>
                <w:sz w:val="20"/>
                <w:szCs w:val="20"/>
                <w:color w:val="auto"/>
              </w:rPr>
            </w:pPr>
            <w:r>
              <w:rPr>
                <w:rFonts w:ascii="Arial" w:cs="Arial" w:eastAsia="Arial" w:hAnsi="Arial"/>
                <w:sz w:val="14"/>
                <w:szCs w:val="14"/>
                <w:color w:val="auto"/>
              </w:rPr>
              <w:t>Termination Following a Change in Control</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24</w:t>
            </w:r>
          </w:p>
        </w:tc>
        <w:tc>
          <w:tcPr>
            <w:tcW w:w="0" w:type="dxa"/>
            <w:vAlign w:val="bottom"/>
          </w:tcPr>
          <w:p>
            <w:pPr>
              <w:spacing w:after="0"/>
              <w:rPr>
                <w:sz w:val="1"/>
                <w:szCs w:val="1"/>
                <w:color w:val="auto"/>
              </w:rPr>
            </w:pPr>
          </w:p>
        </w:tc>
      </w:tr>
      <w:tr>
        <w:trPr>
          <w:trHeight w:val="154"/>
        </w:trPr>
        <w:tc>
          <w:tcPr>
            <w:tcW w:w="1180" w:type="dxa"/>
            <w:vAlign w:val="bottom"/>
            <w:tcBorders>
              <w:bottom w:val="single" w:sz="8" w:color="auto"/>
            </w:tcBorders>
            <w:gridSpan w:val="4"/>
          </w:tcPr>
          <w:p>
            <w:pPr>
              <w:spacing w:after="0" w:line="154" w:lineRule="exact"/>
              <w:rPr>
                <w:sz w:val="20"/>
                <w:szCs w:val="20"/>
                <w:color w:val="auto"/>
              </w:rPr>
            </w:pPr>
            <w:r>
              <w:rPr>
                <w:rFonts w:ascii="Arial" w:cs="Arial" w:eastAsia="Arial" w:hAnsi="Arial"/>
                <w:sz w:val="14"/>
                <w:szCs w:val="14"/>
                <w:color w:val="auto"/>
                <w:w w:val="96"/>
              </w:rPr>
              <w:t>OTHER MATTERS</w:t>
            </w:r>
          </w:p>
        </w:tc>
        <w:tc>
          <w:tcPr>
            <w:tcW w:w="9100" w:type="dxa"/>
            <w:vAlign w:val="bottom"/>
            <w:gridSpan w:val="7"/>
          </w:tcPr>
          <w:p>
            <w:pPr>
              <w:spacing w:after="0"/>
              <w:rPr>
                <w:sz w:val="13"/>
                <w:szCs w:val="13"/>
                <w:color w:val="auto"/>
              </w:rPr>
            </w:pPr>
          </w:p>
        </w:tc>
        <w:tc>
          <w:tcPr>
            <w:tcW w:w="1140" w:type="dxa"/>
            <w:vAlign w:val="bottom"/>
          </w:tcPr>
          <w:p>
            <w:pPr>
              <w:jc w:val="center"/>
              <w:spacing w:after="0" w:line="154" w:lineRule="exact"/>
              <w:rPr>
                <w:sz w:val="20"/>
                <w:szCs w:val="20"/>
                <w:color w:val="auto"/>
              </w:rPr>
            </w:pPr>
            <w:r>
              <w:rPr>
                <w:rFonts w:ascii="Arial" w:cs="Arial" w:eastAsia="Arial" w:hAnsi="Arial"/>
                <w:sz w:val="14"/>
                <w:szCs w:val="14"/>
                <w:color w:val="auto"/>
                <w:w w:val="89"/>
              </w:rPr>
              <w:t>24</w:t>
            </w:r>
          </w:p>
        </w:tc>
        <w:tc>
          <w:tcPr>
            <w:tcW w:w="0" w:type="dxa"/>
            <w:vAlign w:val="bottom"/>
          </w:tcPr>
          <w:p>
            <w:pPr>
              <w:spacing w:after="0"/>
              <w:rPr>
                <w:sz w:val="1"/>
                <w:szCs w:val="1"/>
                <w:color w:val="auto"/>
              </w:rPr>
            </w:pPr>
          </w:p>
        </w:tc>
      </w:tr>
      <w:tr>
        <w:trPr>
          <w:trHeight w:val="123"/>
        </w:trPr>
        <w:tc>
          <w:tcPr>
            <w:tcW w:w="10280" w:type="dxa"/>
            <w:vAlign w:val="bottom"/>
            <w:gridSpan w:val="11"/>
          </w:tcPr>
          <w:p>
            <w:pPr>
              <w:spacing w:after="0" w:line="123" w:lineRule="exact"/>
              <w:rPr>
                <w:sz w:val="20"/>
                <w:szCs w:val="20"/>
                <w:color w:val="auto"/>
              </w:rPr>
            </w:pPr>
            <w:r>
              <w:rPr>
                <w:rFonts w:ascii="Arial" w:cs="Arial" w:eastAsia="Arial" w:hAnsi="Arial"/>
                <w:sz w:val="14"/>
                <w:szCs w:val="14"/>
                <w:color w:val="auto"/>
              </w:rPr>
              <w:t>Independent Registered Public Accounting Firm and Fees</w:t>
            </w:r>
          </w:p>
        </w:tc>
        <w:tc>
          <w:tcPr>
            <w:tcW w:w="1140" w:type="dxa"/>
            <w:vAlign w:val="bottom"/>
          </w:tcPr>
          <w:p>
            <w:pPr>
              <w:jc w:val="center"/>
              <w:spacing w:after="0" w:line="123" w:lineRule="exact"/>
              <w:rPr>
                <w:sz w:val="20"/>
                <w:szCs w:val="20"/>
                <w:color w:val="auto"/>
              </w:rPr>
            </w:pPr>
            <w:r>
              <w:rPr>
                <w:rFonts w:ascii="Arial" w:cs="Arial" w:eastAsia="Arial" w:hAnsi="Arial"/>
                <w:sz w:val="14"/>
                <w:szCs w:val="14"/>
                <w:color w:val="auto"/>
                <w:w w:val="89"/>
              </w:rPr>
              <w:t>24</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Audit Committee′s Pre-Approval Policy and Procedures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24</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Stockholder Proposals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Stockholder Communications</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149"/>
        </w:trPr>
        <w:tc>
          <w:tcPr>
            <w:tcW w:w="10280" w:type="dxa"/>
            <w:vAlign w:val="bottom"/>
            <w:gridSpan w:val="11"/>
          </w:tcPr>
          <w:p>
            <w:pPr>
              <w:spacing w:after="0" w:line="149" w:lineRule="exact"/>
              <w:rPr>
                <w:sz w:val="20"/>
                <w:szCs w:val="20"/>
                <w:color w:val="auto"/>
              </w:rPr>
            </w:pPr>
            <w:r>
              <w:rPr>
                <w:rFonts w:ascii="Arial" w:cs="Arial" w:eastAsia="Arial" w:hAnsi="Arial"/>
                <w:sz w:val="14"/>
                <w:szCs w:val="14"/>
                <w:color w:val="auto"/>
              </w:rPr>
              <w:t>Annual Report</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25</w:t>
            </w:r>
          </w:p>
        </w:tc>
        <w:tc>
          <w:tcPr>
            <w:tcW w:w="0" w:type="dxa"/>
            <w:vAlign w:val="bottom"/>
          </w:tcPr>
          <w:p>
            <w:pPr>
              <w:spacing w:after="0"/>
              <w:rPr>
                <w:sz w:val="1"/>
                <w:szCs w:val="1"/>
                <w:color w:val="auto"/>
              </w:rPr>
            </w:pPr>
          </w:p>
        </w:tc>
      </w:tr>
      <w:tr>
        <w:trPr>
          <w:trHeight w:val="154"/>
        </w:trPr>
        <w:tc>
          <w:tcPr>
            <w:tcW w:w="10280" w:type="dxa"/>
            <w:vAlign w:val="bottom"/>
            <w:gridSpan w:val="11"/>
          </w:tcPr>
          <w:p>
            <w:pPr>
              <w:spacing w:after="0" w:line="154" w:lineRule="exact"/>
              <w:rPr>
                <w:sz w:val="20"/>
                <w:szCs w:val="20"/>
                <w:color w:val="auto"/>
              </w:rPr>
            </w:pPr>
            <w:r>
              <w:rPr>
                <w:rFonts w:ascii="Arial" w:cs="Arial" w:eastAsia="Arial" w:hAnsi="Arial"/>
                <w:sz w:val="14"/>
                <w:szCs w:val="14"/>
                <w:color w:val="auto"/>
              </w:rPr>
              <w:t>MAP TO THE ANNUAL MEETING OF STOCKHOLDERS</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4"/>
        </w:trPr>
        <w:tc>
          <w:tcPr>
            <w:tcW w:w="20" w:type="dxa"/>
            <w:vAlign w:val="bottom"/>
            <w:tcBorders>
              <w:bottom w:val="single" w:sz="8" w:color="808080"/>
            </w:tcBorders>
          </w:tcPr>
          <w:p>
            <w:pPr>
              <w:spacing w:after="0"/>
              <w:rPr>
                <w:sz w:val="24"/>
                <w:szCs w:val="24"/>
                <w:color w:val="auto"/>
              </w:rPr>
            </w:pPr>
          </w:p>
        </w:tc>
        <w:tc>
          <w:tcPr>
            <w:tcW w:w="540" w:type="dxa"/>
            <w:vAlign w:val="bottom"/>
            <w:tcBorders>
              <w:top w:val="single" w:sz="8" w:color="auto"/>
              <w:bottom w:val="single" w:sz="8" w:color="808080"/>
            </w:tcBorders>
          </w:tcPr>
          <w:p>
            <w:pPr>
              <w:spacing w:after="0"/>
              <w:rPr>
                <w:sz w:val="24"/>
                <w:szCs w:val="24"/>
                <w:color w:val="auto"/>
              </w:rPr>
            </w:pPr>
          </w:p>
        </w:tc>
        <w:tc>
          <w:tcPr>
            <w:tcW w:w="54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780" w:type="dxa"/>
            <w:vAlign w:val="bottom"/>
            <w:tcBorders>
              <w:top w:val="single" w:sz="8" w:color="auto"/>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340" w:type="dxa"/>
            <w:vAlign w:val="bottom"/>
            <w:tcBorders>
              <w:top w:val="single" w:sz="8" w:color="auto"/>
              <w:bottom w:val="single" w:sz="8" w:color="808080"/>
            </w:tcBorders>
          </w:tcPr>
          <w:p>
            <w:pPr>
              <w:spacing w:after="0"/>
              <w:rPr>
                <w:sz w:val="24"/>
                <w:szCs w:val="24"/>
                <w:color w:val="auto"/>
              </w:rPr>
            </w:pPr>
          </w:p>
        </w:tc>
        <w:tc>
          <w:tcPr>
            <w:tcW w:w="760" w:type="dxa"/>
            <w:vAlign w:val="bottom"/>
            <w:tcBorders>
              <w:top w:val="single" w:sz="8" w:color="auto"/>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67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COMSTOCK RESOURCES, INC.</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May 18, 2010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of Directors is soliciting your proxy to encourage your participation in the voting at the annual meeting and to obtain your support on the proposals being voted on. You are invited to attend the annual meeting and vote your shares directly. However, even if you do not attend, you may vote by proxy, which allows you to direct another person to vote your shares at the meeting on your behalf. Our principal executive offices are located at 5300 Town and Country Blvd., Suite 500, Frisco, Texas 75034.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Solicitation</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are two parts to this solicitation: the proxy card and this proxy statement. The proxy card is the means by which you actually authorize another person to vote your shares in accordance with your instructions. We are first sending the notice, this proxy statement, and the proxy card on or about April 19, 2010 to all stockholders entitled to vote. This proxy statement provides you with a variety of information on the proposals and other matters that you may find useful in determining how to vote. It is divided into six sections following this Introduction:</w:t>
      </w:r>
    </w:p>
    <w:p>
      <w:pPr>
        <w:spacing w:after="0" w:line="214"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Ownership of Certain Beneficial Owners and Management″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″Proposals to be Voted Upon″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Governance Matters″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Compensation″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Matters″</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soliciting your proxy for the 2010 annual meeting and will pay for soliciting these proxies. Our directors, officers and employees may solicit proxies in person, by telephone or by other electronic means of communication. We have retained Broadridge Financial Solutions, Inc. to assist in distributing proxy solicitation materials and independently tabulate votes. We will reimburse brokers and other nominees for reasonable out-of-pocket expenses they incur in forwarding these proxy materials to you if you are a beneficial owner.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Information</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and we will send a separate copy to each stockholder.</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shares are registered in the name of the stockholder, the stockholder should contact us at 5300 Town and Country Blvd., Suite 500, Frisco, Texas 75034, Attn: Investor Relations, telephone number (800) 877-1322 to inform us of their request. If a bank, broker or other nominee holds the shares, the stockholder should contact the bank, broker or other nominee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Electronic Availability of Proxy Materials for 2010 Annual Meeting</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Proxy Statement and our Annual Report to Stockholders for the year ended December 31, 2009 are available electronically on our website at www.comstockresources.com.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Annual Meeting</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annual meeting will be held on Tuesday, May 18, 2010 at our headquarters in Frisco, Texas, beginning at 10:00 a.m. local time. A quorum of stockholders is necessary to hold a valid meeting. A majority of our common stock must be represented at the annual meeting, whether in person or by proxy, for a quorum to exist. Abstentions will be counted in determining whether or not there is a quorum at the annual meeting. Abstentions will not be counted when tabulating the votes cast on the election of the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16, 2010, we had 47,241,606 issued and outstanding shares of common stock which are eligible to vote at the annual meeting. You are entitled to one vote at the annual meeting for each share of our common stock that you owned of record at the close of business on April 16, 2010. The number of shares you own (and may vote) is listed on the enclosed proxy card.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Your Shares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may vote your shares in person at the annual meeting, by internet, by telephone or by mail.</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Voting in Person. </w:t>
      </w:r>
      <w:r>
        <w:rPr>
          <w:rFonts w:ascii="Arial" w:cs="Arial" w:eastAsia="Arial" w:hAnsi="Arial"/>
          <w:sz w:val="16"/>
          <w:szCs w:val="16"/>
          <w:color w:val="auto"/>
        </w:rPr>
        <w:t>Shares held in your name as the stockholder of record may be voted in person at the annual meeting. To vote in person, you must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attend the annual meeting, and obtain and submit a ballot, which will be provided at the meeting. If your shares are held in the name of a broker, trustee or another nominee (″street name″), you may vote the shares in person at the annual meeting only if you obtain a legal proxy from the broker, trustee or nominee that holds your shares giving you the right to vote the shares. </w:t>
      </w:r>
      <w:r>
        <w:rPr>
          <w:rFonts w:ascii="Arial" w:cs="Arial" w:eastAsia="Arial" w:hAnsi="Arial"/>
          <w:sz w:val="16"/>
          <w:szCs w:val="16"/>
          <w:b w:val="1"/>
          <w:bCs w:val="1"/>
          <w:color w:val="auto"/>
        </w:rPr>
        <w:t>Even if you plan to attend the annual meeting, we recommend that you also submit your</w:t>
      </w:r>
      <w:r>
        <w:rPr>
          <w:rFonts w:ascii="Arial" w:cs="Arial" w:eastAsia="Arial" w:hAnsi="Arial"/>
          <w:sz w:val="16"/>
          <w:szCs w:val="16"/>
          <w:color w:val="auto"/>
        </w:rPr>
        <w:t xml:space="preserve"> </w:t>
      </w:r>
      <w:r>
        <w:rPr>
          <w:rFonts w:ascii="Arial" w:cs="Arial" w:eastAsia="Arial" w:hAnsi="Arial"/>
          <w:sz w:val="16"/>
          <w:szCs w:val="16"/>
          <w:b w:val="1"/>
          <w:bCs w:val="1"/>
          <w:color w:val="auto"/>
        </w:rPr>
        <w:t>proxy or voting instructions as described below so that your vote will b e counted if you later decide not to attend the meeting.</w:t>
      </w:r>
    </w:p>
    <w:p>
      <w:pPr>
        <w:spacing w:after="0" w:line="18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If you elect to vote your shares other than in person at the annual meeting, you will direct the designated persons (known as ″proxies″) to vote your shares at the annual meeting in accordance with your instructions. The board of directors has appointed M. Jay Allison and Roland O. Burns to serve as the proxies for the annual meeting.</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Voting by Internet. </w:t>
      </w:r>
      <w:r>
        <w:rPr>
          <w:rFonts w:ascii="Arial" w:cs="Arial" w:eastAsia="Arial" w:hAnsi="Arial"/>
          <w:sz w:val="18"/>
          <w:szCs w:val="18"/>
          <w:color w:val="auto"/>
        </w:rPr>
        <w:t>Stockholders of record with internet access may submit proxies by following the ″Vote by Internet″ instructions on their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cards. Most stockholders who hold shares beneficially in street name may vote by accessing the website specified on the voting instruction cards provided by their brokers, trustee or nominees. Please check the voting instruction card for internet voting availability.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Voting by Telephone. </w:t>
      </w:r>
      <w:r>
        <w:rPr>
          <w:rFonts w:ascii="Arial" w:cs="Arial" w:eastAsia="Arial" w:hAnsi="Arial"/>
          <w:sz w:val="18"/>
          <w:szCs w:val="18"/>
          <w:color w:val="auto"/>
        </w:rPr>
        <w:t>Stockholders of record may submit proxies by following the ″Vote by Phone″ instructions on their proxy cards. Most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who hold shares beneficially in street name may vote by phone by calling the number specified on the voting instruction cards provided by their brokers, trustee or nominees. Please check the voting instruction card for telephone voting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Voting by Mail. </w:t>
      </w:r>
      <w:r>
        <w:rPr>
          <w:rFonts w:ascii="Arial" w:cs="Arial" w:eastAsia="Arial" w:hAnsi="Arial"/>
          <w:sz w:val="18"/>
          <w:szCs w:val="18"/>
          <w:color w:val="auto"/>
        </w:rPr>
        <w:t>Stockholders of record may submit proxies by completing, signing and dating their proxy cards and mailing them in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pre-addressed envelopes. Stockholders who hold shares beneficially in street name may vote by mail by completing, signing and dating the voting instruction cards provided and mailing them in the accompanying pre-addressed envelopes. Your proxy will be valid only if you sign, date and return it so that it is received before the annual meeting.</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complete the entire proxy card, except the voting instructions, then the designated proxies will vote your shares "for" the election of the nominated directors and ″for″ the ratification of Ernst &amp; Young LLP as our independent registered public accounting firm.</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any nominee for election to the board of directors is unable to serve, which is not anticipated, or if any other matters properly come before the meeting, then the designated proxies will vote your shares in accordance with their best judgment. The board of directors knows of no matters, other than those described above, to be presented for consideration at the annual meeting.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Changing Your Vote</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You may change your vote at any time prior to the vote at the annual meeting, except that votes submitted through the internet or telephone must be received by 11:59 p.m., Eastern Time, on May 17, 2010. If you are the stockholder of record, you may change your vote by granting a new proxy bearing a later date (which automatically revokes the earlier proxy), by providing a written notice of revocation to our Corporate Secretary prior to your shares being voted, or by attending the annual meeting and voting in person. Attendance at the meeting will not cause your previously granted proxy to be revoked unless you specifically so request. For shares you hold beneficially in street name, you may change your vote by submitting new voting instructions to your broker, trustee or nominee, or, if you have obtain ed a legal proxy from your broker or nominee giving you the right to vote your shares, by attending the meeting and voting in person.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to Find Voting Results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publish the voting results in a current report to be filed on Form 8-K within four days following the adjournment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 sets forth stockholder information as of April 16, 2010, for persons known to us to be large stockholders (5% or more), directors or executive officers. Ownership of our common stock is shown in terms of ″beneficial ownership.″ A person generally ″beneficially owns″ shares if he or she has either the right to vote those shares or dispose of them. More than one person may be considered to beneficially own the same shares. In this proxy statement, unless otherwise noted, a person has sole voting and dispositive power for those shares shown as beneficially owned by him or her. Shares shown as beneficially owned by our directors or executive officers include shares that they have the right to acquire by exercising options on or before June 1 5, 2010. The percentages shown in this proxy statement compare the person′s beneficially owned shares with the total number of shares of our common stock outstanding on April 16, 2010 (47,241,606 shares) plus the number of unissued shares as to which such person has the right to acquire voting or dispositive power on or before June 15, 2010.</w:t>
      </w:r>
    </w:p>
    <w:p>
      <w:pPr>
        <w:spacing w:after="0" w:line="220" w:lineRule="exact"/>
        <w:rPr>
          <w:sz w:val="20"/>
          <w:szCs w:val="20"/>
          <w:color w:val="auto"/>
        </w:rPr>
      </w:pPr>
    </w:p>
    <w:tbl>
      <w:tblPr>
        <w:tblLayout w:type="fixed"/>
        <w:tblInd w:w="130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90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Shares Beneficially Owned</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80" w:type="dxa"/>
            <w:vAlign w:val="bottom"/>
            <w:tcBorders>
              <w:bottom w:val="single" w:sz="8" w:color="auto"/>
            </w:tcBorders>
            <w:gridSpan w:val="2"/>
          </w:tcPr>
          <w:p>
            <w:pPr>
              <w:ind w:left="1260"/>
              <w:spacing w:after="0" w:line="203" w:lineRule="exact"/>
              <w:rPr>
                <w:sz w:val="20"/>
                <w:szCs w:val="20"/>
                <w:color w:val="auto"/>
              </w:rPr>
            </w:pPr>
            <w:r>
              <w:rPr>
                <w:rFonts w:ascii="Arial" w:cs="Arial" w:eastAsia="Arial" w:hAnsi="Arial"/>
                <w:sz w:val="16"/>
                <w:szCs w:val="16"/>
                <w:b w:val="1"/>
                <w:bCs w:val="1"/>
                <w:color w:val="auto"/>
              </w:rPr>
              <w:t>Name of Beneficial Owner</w:t>
            </w:r>
            <w:r>
              <w:rPr>
                <w:rFonts w:ascii="Arial" w:cs="Arial" w:eastAsia="Arial" w:hAnsi="Arial"/>
                <w:sz w:val="22"/>
                <w:szCs w:val="22"/>
                <w:b w:val="1"/>
                <w:bCs w:val="1"/>
                <w:color w:val="auto"/>
                <w:vertAlign w:val="superscript"/>
              </w:rPr>
              <w:t>(1)</w:t>
            </w:r>
          </w:p>
        </w:tc>
        <w:tc>
          <w:tcPr>
            <w:tcW w:w="600" w:type="dxa"/>
            <w:vAlign w:val="bottom"/>
          </w:tcPr>
          <w:p>
            <w:pPr>
              <w:spacing w:after="0"/>
              <w:rPr>
                <w:sz w:val="18"/>
                <w:szCs w:val="18"/>
                <w:color w:val="auto"/>
              </w:rPr>
            </w:pPr>
          </w:p>
        </w:tc>
        <w:tc>
          <w:tcPr>
            <w:tcW w:w="1060" w:type="dxa"/>
            <w:vAlign w:val="bottom"/>
            <w:tcBorders>
              <w:bottom w:val="single" w:sz="8" w:color="auto"/>
            </w:tcBorders>
          </w:tcPr>
          <w:p>
            <w:pPr>
              <w:jc w:val="right"/>
              <w:ind w:right="99"/>
              <w:spacing w:after="0" w:line="203" w:lineRule="exact"/>
              <w:rPr>
                <w:sz w:val="20"/>
                <w:szCs w:val="20"/>
                <w:color w:val="auto"/>
              </w:rPr>
            </w:pPr>
            <w:r>
              <w:rPr>
                <w:rFonts w:ascii="Arial" w:cs="Arial" w:eastAsia="Arial" w:hAnsi="Arial"/>
                <w:sz w:val="16"/>
                <w:szCs w:val="16"/>
                <w:b w:val="1"/>
                <w:bCs w:val="1"/>
                <w:color w:val="auto"/>
              </w:rPr>
              <w:t>Number</w:t>
            </w:r>
            <w:r>
              <w:rPr>
                <w:rFonts w:ascii="Arial" w:cs="Arial" w:eastAsia="Arial" w:hAnsi="Arial"/>
                <w:sz w:val="22"/>
                <w:szCs w:val="22"/>
                <w:b w:val="1"/>
                <w:bCs w:val="1"/>
                <w:color w:val="auto"/>
                <w:vertAlign w:val="superscript"/>
              </w:rPr>
              <w:t>(2)</w:t>
            </w:r>
          </w:p>
        </w:tc>
        <w:tc>
          <w:tcPr>
            <w:tcW w:w="740" w:type="dxa"/>
            <w:vAlign w:val="bottom"/>
          </w:tcPr>
          <w:p>
            <w:pPr>
              <w:spacing w:after="0"/>
              <w:rPr>
                <w:sz w:val="18"/>
                <w:szCs w:val="18"/>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395"/>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M. Jay Allison</w:t>
            </w:r>
          </w:p>
        </w:tc>
        <w:tc>
          <w:tcPr>
            <w:tcW w:w="1060" w:type="dxa"/>
            <w:vAlign w:val="bottom"/>
          </w:tcPr>
          <w:p>
            <w:pPr>
              <w:jc w:val="right"/>
              <w:spacing w:after="0"/>
              <w:rPr>
                <w:sz w:val="20"/>
                <w:szCs w:val="20"/>
                <w:color w:val="auto"/>
              </w:rPr>
            </w:pPr>
            <w:r>
              <w:rPr>
                <w:rFonts w:ascii="Arial" w:cs="Arial" w:eastAsia="Arial" w:hAnsi="Arial"/>
                <w:sz w:val="16"/>
                <w:szCs w:val="16"/>
                <w:color w:val="auto"/>
              </w:rPr>
              <w:t>1,501,004</w:t>
            </w:r>
          </w:p>
        </w:tc>
        <w:tc>
          <w:tcPr>
            <w:tcW w:w="740" w:type="dxa"/>
            <w:vAlign w:val="bottom"/>
          </w:tcPr>
          <w:p>
            <w:pPr>
              <w:spacing w:after="0"/>
              <w:rPr>
                <w:sz w:val="24"/>
                <w:szCs w:val="24"/>
                <w:color w:val="auto"/>
              </w:rPr>
            </w:pPr>
          </w:p>
        </w:tc>
        <w:tc>
          <w:tcPr>
            <w:tcW w:w="1100" w:type="dxa"/>
            <w:vAlign w:val="bottom"/>
          </w:tcPr>
          <w:p>
            <w:pPr>
              <w:ind w:left="5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President, Chief Executive Officer and</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Chairman of the Board of Directors</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Roland O. Burns</w:t>
            </w:r>
          </w:p>
        </w:tc>
        <w:tc>
          <w:tcPr>
            <w:tcW w:w="1060" w:type="dxa"/>
            <w:vAlign w:val="bottom"/>
          </w:tcPr>
          <w:p>
            <w:pPr>
              <w:jc w:val="right"/>
              <w:spacing w:after="0"/>
              <w:rPr>
                <w:sz w:val="20"/>
                <w:szCs w:val="20"/>
                <w:color w:val="auto"/>
              </w:rPr>
            </w:pPr>
            <w:r>
              <w:rPr>
                <w:rFonts w:ascii="Arial" w:cs="Arial" w:eastAsia="Arial" w:hAnsi="Arial"/>
                <w:sz w:val="16"/>
                <w:szCs w:val="16"/>
                <w:color w:val="auto"/>
              </w:rPr>
              <w:t>620,822</w:t>
            </w:r>
          </w:p>
        </w:tc>
        <w:tc>
          <w:tcPr>
            <w:tcW w:w="74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Director, Senior Vice President, Chief</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Financial Officer, Secretary and Treasurer</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D. Dale Gillette</w:t>
            </w:r>
          </w:p>
        </w:tc>
        <w:tc>
          <w:tcPr>
            <w:tcW w:w="1060" w:type="dxa"/>
            <w:vAlign w:val="bottom"/>
          </w:tcPr>
          <w:p>
            <w:pPr>
              <w:jc w:val="right"/>
              <w:spacing w:after="0"/>
              <w:rPr>
                <w:sz w:val="20"/>
                <w:szCs w:val="20"/>
                <w:color w:val="auto"/>
              </w:rPr>
            </w:pPr>
            <w:r>
              <w:rPr>
                <w:rFonts w:ascii="Arial" w:cs="Arial" w:eastAsia="Arial" w:hAnsi="Arial"/>
                <w:sz w:val="16"/>
                <w:szCs w:val="16"/>
                <w:color w:val="auto"/>
              </w:rPr>
              <w:t>73,500</w:t>
            </w:r>
          </w:p>
        </w:tc>
        <w:tc>
          <w:tcPr>
            <w:tcW w:w="740" w:type="dxa"/>
            <w:vAlign w:val="bottom"/>
          </w:tcPr>
          <w:p>
            <w:pPr>
              <w:spacing w:after="0"/>
              <w:rPr>
                <w:sz w:val="17"/>
                <w:szCs w:val="17"/>
                <w:color w:val="auto"/>
              </w:rPr>
            </w:pP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Vice President of Land and General Counsel</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Mack D. Good</w:t>
            </w:r>
          </w:p>
        </w:tc>
        <w:tc>
          <w:tcPr>
            <w:tcW w:w="1060" w:type="dxa"/>
            <w:vAlign w:val="bottom"/>
          </w:tcPr>
          <w:p>
            <w:pPr>
              <w:jc w:val="right"/>
              <w:spacing w:after="0"/>
              <w:rPr>
                <w:sz w:val="20"/>
                <w:szCs w:val="20"/>
                <w:color w:val="auto"/>
              </w:rPr>
            </w:pPr>
            <w:r>
              <w:rPr>
                <w:rFonts w:ascii="Arial" w:cs="Arial" w:eastAsia="Arial" w:hAnsi="Arial"/>
                <w:sz w:val="16"/>
                <w:szCs w:val="16"/>
                <w:color w:val="auto"/>
              </w:rPr>
              <w:t>163,000</w:t>
            </w:r>
          </w:p>
        </w:tc>
        <w:tc>
          <w:tcPr>
            <w:tcW w:w="740" w:type="dxa"/>
            <w:vAlign w:val="bottom"/>
          </w:tcPr>
          <w:p>
            <w:pPr>
              <w:spacing w:after="0"/>
              <w:rPr>
                <w:sz w:val="17"/>
                <w:szCs w:val="17"/>
                <w:color w:val="auto"/>
              </w:rPr>
            </w:pP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Chief Operating Officer</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David K. Lockett</w:t>
            </w:r>
          </w:p>
        </w:tc>
        <w:tc>
          <w:tcPr>
            <w:tcW w:w="1060" w:type="dxa"/>
            <w:vAlign w:val="bottom"/>
          </w:tcPr>
          <w:p>
            <w:pPr>
              <w:jc w:val="right"/>
              <w:spacing w:after="0"/>
              <w:rPr>
                <w:sz w:val="20"/>
                <w:szCs w:val="20"/>
                <w:color w:val="auto"/>
              </w:rPr>
            </w:pPr>
            <w:r>
              <w:rPr>
                <w:rFonts w:ascii="Arial" w:cs="Arial" w:eastAsia="Arial" w:hAnsi="Arial"/>
                <w:sz w:val="16"/>
                <w:szCs w:val="16"/>
                <w:color w:val="auto"/>
              </w:rPr>
              <w:t>62,536</w:t>
            </w:r>
          </w:p>
        </w:tc>
        <w:tc>
          <w:tcPr>
            <w:tcW w:w="740" w:type="dxa"/>
            <w:vAlign w:val="bottom"/>
          </w:tcPr>
          <w:p>
            <w:pPr>
              <w:spacing w:after="0"/>
              <w:rPr>
                <w:sz w:val="17"/>
                <w:szCs w:val="17"/>
                <w:color w:val="auto"/>
              </w:rPr>
            </w:pP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Director</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Cecil E. Martin</w:t>
            </w:r>
          </w:p>
        </w:tc>
        <w:tc>
          <w:tcPr>
            <w:tcW w:w="1060" w:type="dxa"/>
            <w:vAlign w:val="bottom"/>
          </w:tcPr>
          <w:p>
            <w:pPr>
              <w:jc w:val="right"/>
              <w:spacing w:after="0"/>
              <w:rPr>
                <w:sz w:val="20"/>
                <w:szCs w:val="20"/>
                <w:color w:val="auto"/>
              </w:rPr>
            </w:pPr>
            <w:r>
              <w:rPr>
                <w:rFonts w:ascii="Arial" w:cs="Arial" w:eastAsia="Arial" w:hAnsi="Arial"/>
                <w:sz w:val="16"/>
                <w:szCs w:val="16"/>
                <w:color w:val="auto"/>
              </w:rPr>
              <w:t>63,399</w:t>
            </w:r>
          </w:p>
        </w:tc>
        <w:tc>
          <w:tcPr>
            <w:tcW w:w="740" w:type="dxa"/>
            <w:vAlign w:val="bottom"/>
          </w:tcPr>
          <w:p>
            <w:pPr>
              <w:spacing w:after="0"/>
              <w:rPr>
                <w:sz w:val="17"/>
                <w:szCs w:val="17"/>
                <w:color w:val="auto"/>
              </w:rPr>
            </w:pP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Director</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Stephen E. Neukom</w:t>
            </w:r>
          </w:p>
        </w:tc>
        <w:tc>
          <w:tcPr>
            <w:tcW w:w="1060" w:type="dxa"/>
            <w:vAlign w:val="bottom"/>
          </w:tcPr>
          <w:p>
            <w:pPr>
              <w:jc w:val="right"/>
              <w:spacing w:after="0"/>
              <w:rPr>
                <w:sz w:val="20"/>
                <w:szCs w:val="20"/>
                <w:color w:val="auto"/>
              </w:rPr>
            </w:pPr>
            <w:r>
              <w:rPr>
                <w:rFonts w:ascii="Arial" w:cs="Arial" w:eastAsia="Arial" w:hAnsi="Arial"/>
                <w:sz w:val="16"/>
                <w:szCs w:val="16"/>
                <w:color w:val="auto"/>
              </w:rPr>
              <w:t>45,000</w:t>
            </w:r>
          </w:p>
        </w:tc>
        <w:tc>
          <w:tcPr>
            <w:tcW w:w="740" w:type="dxa"/>
            <w:vAlign w:val="bottom"/>
          </w:tcPr>
          <w:p>
            <w:pPr>
              <w:spacing w:after="0"/>
              <w:rPr>
                <w:sz w:val="17"/>
                <w:szCs w:val="17"/>
                <w:color w:val="auto"/>
              </w:rPr>
            </w:pP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Vice President of Marketing</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Daniel K. Presley</w:t>
            </w:r>
          </w:p>
        </w:tc>
        <w:tc>
          <w:tcPr>
            <w:tcW w:w="1060" w:type="dxa"/>
            <w:vAlign w:val="bottom"/>
          </w:tcPr>
          <w:p>
            <w:pPr>
              <w:jc w:val="right"/>
              <w:spacing w:after="0"/>
              <w:rPr>
                <w:sz w:val="20"/>
                <w:szCs w:val="20"/>
                <w:color w:val="auto"/>
              </w:rPr>
            </w:pPr>
            <w:r>
              <w:rPr>
                <w:rFonts w:ascii="Arial" w:cs="Arial" w:eastAsia="Arial" w:hAnsi="Arial"/>
                <w:sz w:val="16"/>
                <w:szCs w:val="16"/>
                <w:color w:val="auto"/>
              </w:rPr>
              <w:t>47,000</w:t>
            </w:r>
          </w:p>
        </w:tc>
        <w:tc>
          <w:tcPr>
            <w:tcW w:w="740" w:type="dxa"/>
            <w:vAlign w:val="bottom"/>
          </w:tcPr>
          <w:p>
            <w:pPr>
              <w:spacing w:after="0"/>
              <w:rPr>
                <w:sz w:val="17"/>
                <w:szCs w:val="17"/>
                <w:color w:val="auto"/>
              </w:rPr>
            </w:pP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Vice President of Accounting</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Richard D. Singer</w:t>
            </w:r>
          </w:p>
        </w:tc>
        <w:tc>
          <w:tcPr>
            <w:tcW w:w="1060" w:type="dxa"/>
            <w:vAlign w:val="bottom"/>
          </w:tcPr>
          <w:p>
            <w:pPr>
              <w:jc w:val="right"/>
              <w:spacing w:after="0"/>
              <w:rPr>
                <w:sz w:val="20"/>
                <w:szCs w:val="20"/>
                <w:color w:val="auto"/>
              </w:rPr>
            </w:pPr>
            <w:r>
              <w:rPr>
                <w:rFonts w:ascii="Arial" w:cs="Arial" w:eastAsia="Arial" w:hAnsi="Arial"/>
                <w:sz w:val="16"/>
                <w:szCs w:val="16"/>
                <w:color w:val="auto"/>
              </w:rPr>
              <w:t>37,500</w:t>
            </w:r>
          </w:p>
        </w:tc>
        <w:tc>
          <w:tcPr>
            <w:tcW w:w="740" w:type="dxa"/>
            <w:vAlign w:val="bottom"/>
          </w:tcPr>
          <w:p>
            <w:pPr>
              <w:spacing w:after="0"/>
              <w:rPr>
                <w:sz w:val="17"/>
                <w:szCs w:val="17"/>
                <w:color w:val="auto"/>
              </w:rPr>
            </w:pP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Vice President of Financial Reporting</w:t>
            </w:r>
          </w:p>
        </w:tc>
        <w:tc>
          <w:tcPr>
            <w:tcW w:w="1800" w:type="dxa"/>
            <w:vAlign w:val="bottom"/>
            <w:gridSpan w:val="2"/>
            <w:vMerge w:val="restart"/>
          </w:tcPr>
          <w:p>
            <w:pPr>
              <w:jc w:val="right"/>
              <w:ind w:right="600"/>
              <w:spacing w:after="0"/>
              <w:rPr>
                <w:sz w:val="20"/>
                <w:szCs w:val="20"/>
                <w:color w:val="auto"/>
              </w:rPr>
            </w:pPr>
            <w:r>
              <w:rPr>
                <w:rFonts w:ascii="Arial" w:cs="Arial" w:eastAsia="Arial" w:hAnsi="Arial"/>
                <w:sz w:val="16"/>
                <w:szCs w:val="16"/>
                <w:color w:val="auto"/>
              </w:rPr>
              <w:t>103,864</w:t>
            </w:r>
            <w:r>
              <w:rPr>
                <w:rFonts w:ascii="Arial" w:cs="Arial" w:eastAsia="Arial" w:hAnsi="Arial"/>
                <w:sz w:val="22"/>
                <w:szCs w:val="22"/>
                <w:color w:val="auto"/>
                <w:vertAlign w:val="superscript"/>
              </w:rPr>
              <w:t>(3)</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David W. Sledge</w:t>
            </w:r>
          </w:p>
        </w:tc>
        <w:tc>
          <w:tcPr>
            <w:tcW w:w="1800" w:type="dxa"/>
            <w:vAlign w:val="bottom"/>
            <w:gridSpan w:val="2"/>
            <w:vMerge w:val="continue"/>
          </w:tcPr>
          <w:p>
            <w:pPr>
              <w:spacing w:after="0"/>
              <w:rPr>
                <w:sz w:val="17"/>
                <w:szCs w:val="17"/>
                <w:color w:val="auto"/>
              </w:rPr>
            </w:pP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Director</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Nancy E. Underwood</w:t>
            </w:r>
          </w:p>
        </w:tc>
        <w:tc>
          <w:tcPr>
            <w:tcW w:w="1060" w:type="dxa"/>
            <w:vAlign w:val="bottom"/>
          </w:tcPr>
          <w:p>
            <w:pPr>
              <w:jc w:val="right"/>
              <w:spacing w:after="0"/>
              <w:rPr>
                <w:sz w:val="20"/>
                <w:szCs w:val="20"/>
                <w:color w:val="auto"/>
              </w:rPr>
            </w:pPr>
            <w:r>
              <w:rPr>
                <w:rFonts w:ascii="Arial" w:cs="Arial" w:eastAsia="Arial" w:hAnsi="Arial"/>
                <w:sz w:val="16"/>
                <w:szCs w:val="16"/>
                <w:color w:val="auto"/>
              </w:rPr>
              <w:t>78,200</w:t>
            </w:r>
          </w:p>
        </w:tc>
        <w:tc>
          <w:tcPr>
            <w:tcW w:w="740" w:type="dxa"/>
            <w:vAlign w:val="bottom"/>
          </w:tcPr>
          <w:p>
            <w:pPr>
              <w:spacing w:after="0"/>
              <w:rPr>
                <w:sz w:val="17"/>
                <w:szCs w:val="17"/>
                <w:color w:val="auto"/>
              </w:rPr>
            </w:pPr>
          </w:p>
        </w:tc>
        <w:tc>
          <w:tcPr>
            <w:tcW w:w="110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5080" w:type="dxa"/>
            <w:vAlign w:val="bottom"/>
            <w:gridSpan w:val="3"/>
          </w:tcPr>
          <w:p>
            <w:pPr>
              <w:ind w:left="480"/>
              <w:spacing w:after="0"/>
              <w:rPr>
                <w:sz w:val="20"/>
                <w:szCs w:val="20"/>
                <w:color w:val="auto"/>
              </w:rPr>
            </w:pPr>
            <w:r>
              <w:rPr>
                <w:rFonts w:ascii="Arial" w:cs="Arial" w:eastAsia="Arial" w:hAnsi="Arial"/>
                <w:sz w:val="16"/>
                <w:szCs w:val="16"/>
                <w:i w:val="1"/>
                <w:iCs w:val="1"/>
                <w:color w:val="auto"/>
              </w:rPr>
              <w:t>Director</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All Executive Officers and Directors as a Group</w:t>
            </w:r>
          </w:p>
        </w:tc>
        <w:tc>
          <w:tcPr>
            <w:tcW w:w="1060" w:type="dxa"/>
            <w:vAlign w:val="bottom"/>
          </w:tcPr>
          <w:p>
            <w:pPr>
              <w:jc w:val="right"/>
              <w:spacing w:after="0"/>
              <w:rPr>
                <w:sz w:val="20"/>
                <w:szCs w:val="20"/>
                <w:color w:val="auto"/>
              </w:rPr>
            </w:pPr>
            <w:r>
              <w:rPr>
                <w:rFonts w:ascii="Arial" w:cs="Arial" w:eastAsia="Arial" w:hAnsi="Arial"/>
                <w:sz w:val="16"/>
                <w:szCs w:val="16"/>
                <w:color w:val="auto"/>
              </w:rPr>
              <w:t>2,795,825</w:t>
            </w:r>
          </w:p>
        </w:tc>
        <w:tc>
          <w:tcPr>
            <w:tcW w:w="740" w:type="dxa"/>
            <w:vAlign w:val="bottom"/>
          </w:tcPr>
          <w:p>
            <w:pPr>
              <w:spacing w:after="0"/>
              <w:rPr>
                <w:sz w:val="24"/>
                <w:szCs w:val="24"/>
                <w:color w:val="auto"/>
              </w:rPr>
            </w:pPr>
          </w:p>
        </w:tc>
        <w:tc>
          <w:tcPr>
            <w:tcW w:w="1100" w:type="dxa"/>
            <w:vAlign w:val="bottom"/>
          </w:tcPr>
          <w:p>
            <w:pPr>
              <w:ind w:left="52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6"/>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(11 Persons)</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5500" w:type="dxa"/>
            <w:vAlign w:val="bottom"/>
            <w:gridSpan w:val="4"/>
          </w:tcPr>
          <w:p>
            <w:pPr>
              <w:ind w:left="420"/>
              <w:spacing w:after="0"/>
              <w:rPr>
                <w:sz w:val="20"/>
                <w:szCs w:val="20"/>
                <w:color w:val="auto"/>
              </w:rPr>
            </w:pPr>
            <w:r>
              <w:rPr>
                <w:rFonts w:ascii="Arial" w:cs="Arial" w:eastAsia="Arial" w:hAnsi="Arial"/>
                <w:sz w:val="16"/>
                <w:szCs w:val="16"/>
                <w:color w:val="auto"/>
              </w:rPr>
              <w:t>Blackrock, Inc.</w:t>
            </w:r>
          </w:p>
        </w:tc>
        <w:tc>
          <w:tcPr>
            <w:tcW w:w="1800" w:type="dxa"/>
            <w:vAlign w:val="bottom"/>
            <w:gridSpan w:val="2"/>
          </w:tcPr>
          <w:p>
            <w:pPr>
              <w:jc w:val="right"/>
              <w:ind w:right="600"/>
              <w:spacing w:after="0"/>
              <w:rPr>
                <w:sz w:val="20"/>
                <w:szCs w:val="20"/>
                <w:color w:val="auto"/>
              </w:rPr>
            </w:pPr>
            <w:r>
              <w:rPr>
                <w:rFonts w:ascii="Arial" w:cs="Arial" w:eastAsia="Arial" w:hAnsi="Arial"/>
                <w:sz w:val="16"/>
                <w:szCs w:val="16"/>
                <w:color w:val="auto"/>
              </w:rPr>
              <w:t>3,186,111</w:t>
            </w:r>
            <w:r>
              <w:rPr>
                <w:rFonts w:ascii="Arial" w:cs="Arial" w:eastAsia="Arial" w:hAnsi="Arial"/>
                <w:sz w:val="22"/>
                <w:szCs w:val="22"/>
                <w:color w:val="auto"/>
                <w:vertAlign w:val="superscript"/>
              </w:rPr>
              <w:t>(4)</w:t>
            </w:r>
          </w:p>
        </w:tc>
        <w:tc>
          <w:tcPr>
            <w:tcW w:w="1100" w:type="dxa"/>
            <w:vAlign w:val="bottom"/>
          </w:tcPr>
          <w:p>
            <w:pPr>
              <w:ind w:left="5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96"/>
        </w:trPr>
        <w:tc>
          <w:tcPr>
            <w:tcW w:w="420" w:type="dxa"/>
            <w:vAlign w:val="bottom"/>
          </w:tcPr>
          <w:p>
            <w:pPr>
              <w:spacing w:after="0"/>
              <w:rPr>
                <w:sz w:val="24"/>
                <w:szCs w:val="24"/>
                <w:color w:val="auto"/>
              </w:rPr>
            </w:pPr>
          </w:p>
        </w:tc>
        <w:tc>
          <w:tcPr>
            <w:tcW w:w="5080" w:type="dxa"/>
            <w:vAlign w:val="bottom"/>
            <w:gridSpan w:val="3"/>
          </w:tcPr>
          <w:p>
            <w:pPr>
              <w:ind w:left="320"/>
              <w:spacing w:after="0"/>
              <w:rPr>
                <w:sz w:val="20"/>
                <w:szCs w:val="20"/>
                <w:color w:val="auto"/>
              </w:rPr>
            </w:pPr>
            <w:r>
              <w:rPr>
                <w:rFonts w:ascii="Arial" w:cs="Arial" w:eastAsia="Arial" w:hAnsi="Arial"/>
                <w:sz w:val="16"/>
                <w:szCs w:val="16"/>
                <w:color w:val="auto"/>
              </w:rPr>
              <w:t>40 East 52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Street, New York, NY 10022</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40" w:hanging="154"/>
        <w:spacing w:after="0"/>
        <w:tabs>
          <w:tab w:leader="none" w:pos="1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Indicates less than one percent.</w:t>
      </w:r>
    </w:p>
    <w:p>
      <w:pPr>
        <w:spacing w:after="0" w:line="257" w:lineRule="exact"/>
        <w:rPr>
          <w:rFonts w:ascii="Arial" w:cs="Arial" w:eastAsia="Arial" w:hAnsi="Arial"/>
          <w:sz w:val="14"/>
          <w:szCs w:val="14"/>
          <w:color w:val="auto"/>
        </w:rPr>
      </w:pPr>
    </w:p>
    <w:p>
      <w:pPr>
        <w:ind w:left="1640" w:hanging="329"/>
        <w:spacing w:after="0"/>
        <w:tabs>
          <w:tab w:leader="none" w:pos="1640" w:val="left"/>
        </w:tabs>
        <w:numPr>
          <w:ilvl w:val="1"/>
          <w:numId w:val="8"/>
        </w:numPr>
        <w:rPr>
          <w:rFonts w:ascii="Arial" w:cs="Arial" w:eastAsia="Arial" w:hAnsi="Arial"/>
          <w:sz w:val="13"/>
          <w:szCs w:val="13"/>
          <w:color w:val="auto"/>
        </w:rPr>
      </w:pPr>
      <w:r>
        <w:rPr>
          <w:rFonts w:ascii="Arial" w:cs="Arial" w:eastAsia="Arial" w:hAnsi="Arial"/>
          <w:sz w:val="13"/>
          <w:szCs w:val="13"/>
          <w:color w:val="auto"/>
        </w:rPr>
        <w:t>Unless otherwise noted, the address of each beneficial owner is c/o Comstock Resources, Inc., 5300 Town and Country Blvd., Suite 500, Frisco, Texas 75034.</w:t>
      </w:r>
    </w:p>
    <w:p>
      <w:pPr>
        <w:jc w:val="both"/>
        <w:ind w:left="1640" w:right="1140" w:hanging="329"/>
        <w:spacing w:after="0" w:line="216" w:lineRule="auto"/>
        <w:tabs>
          <w:tab w:leader="none" w:pos="1640" w:val="left"/>
        </w:tabs>
        <w:numPr>
          <w:ilvl w:val="1"/>
          <w:numId w:val="8"/>
        </w:numPr>
        <w:rPr>
          <w:rFonts w:ascii="Arial" w:cs="Arial" w:eastAsia="Arial" w:hAnsi="Arial"/>
          <w:sz w:val="13"/>
          <w:szCs w:val="13"/>
          <w:color w:val="auto"/>
        </w:rPr>
      </w:pPr>
      <w:r>
        <w:rPr>
          <w:rFonts w:ascii="Arial" w:cs="Arial" w:eastAsia="Arial" w:hAnsi="Arial"/>
          <w:sz w:val="13"/>
          <w:szCs w:val="13"/>
          <w:color w:val="auto"/>
        </w:rPr>
        <w:t>Includes shares issuable pursuant to stock options which are presently exercisable or exercisable on or before June 15, 2010 in the following amounts: Mr. Burns–33,750 shares; Mr. Lockett–35,000 shares; Mr. Martin–30,000 shares; Mr. Sledge–10,000 shares; Ms. Underwood–30,000 shares; and all executive officers and directors–138,750 shares.</w:t>
      </w:r>
    </w:p>
    <w:p>
      <w:pPr>
        <w:spacing w:after="0" w:line="1" w:lineRule="exact"/>
        <w:rPr>
          <w:rFonts w:ascii="Arial" w:cs="Arial" w:eastAsia="Arial" w:hAnsi="Arial"/>
          <w:sz w:val="13"/>
          <w:szCs w:val="13"/>
          <w:color w:val="auto"/>
        </w:rPr>
      </w:pPr>
    </w:p>
    <w:p>
      <w:pPr>
        <w:ind w:left="1640" w:hanging="329"/>
        <w:spacing w:after="0" w:line="216" w:lineRule="auto"/>
        <w:tabs>
          <w:tab w:leader="none" w:pos="1640" w:val="left"/>
        </w:tabs>
        <w:numPr>
          <w:ilvl w:val="1"/>
          <w:numId w:val="8"/>
        </w:numPr>
        <w:rPr>
          <w:rFonts w:ascii="Arial" w:cs="Arial" w:eastAsia="Arial" w:hAnsi="Arial"/>
          <w:sz w:val="13"/>
          <w:szCs w:val="13"/>
          <w:color w:val="auto"/>
        </w:rPr>
      </w:pPr>
      <w:r>
        <w:rPr>
          <w:rFonts w:ascii="Arial" w:cs="Arial" w:eastAsia="Arial" w:hAnsi="Arial"/>
          <w:sz w:val="13"/>
          <w:szCs w:val="13"/>
          <w:color w:val="auto"/>
        </w:rPr>
        <w:t>Includes 35,000 shares held by Mr. Sledge as Trustee for the Allison Children Trusts.</w:t>
      </w:r>
    </w:p>
    <w:p>
      <w:pPr>
        <w:ind w:left="1640" w:hanging="329"/>
        <w:spacing w:after="0"/>
        <w:tabs>
          <w:tab w:leader="none" w:pos="1640" w:val="left"/>
        </w:tabs>
        <w:numPr>
          <w:ilvl w:val="1"/>
          <w:numId w:val="8"/>
        </w:numPr>
        <w:rPr>
          <w:rFonts w:ascii="Arial" w:cs="Arial" w:eastAsia="Arial" w:hAnsi="Arial"/>
          <w:sz w:val="13"/>
          <w:szCs w:val="13"/>
          <w:color w:val="auto"/>
        </w:rPr>
      </w:pPr>
      <w:r>
        <w:rPr>
          <w:rFonts w:ascii="Arial" w:cs="Arial" w:eastAsia="Arial" w:hAnsi="Arial"/>
          <w:sz w:val="13"/>
          <w:szCs w:val="13"/>
          <w:color w:val="auto"/>
        </w:rPr>
        <w:t>Represents shares held on December 31, 2009, based on filing on Schedule 13G dated January 29,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PROPOSALS TO BE VOTED UPON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Election of Directors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the agenda for the annual meeting will be the election of two Class A directors each to serve a term of three years beginning at the annual meeting. The nominees receiving the greatest number of votes cast will be elected. So, if you do not vote for a particular nominee on your proxy card, your vote will not count either ″for″ or ″against″ the nominee. Our Board of Directors presently consists of six members comprised of three classes (Class A, B and C). Directors are elected in classes to serve terms of three years. The current Class B directors, whose terms will expire in 2011, are M. Jay Allison and David W. Sledge. The Class C directors, whose terms expire in 2012, are Roland O. Burns and David K. Lockett. The Class A directors, whose terms expire at the annual meeting, are Cecil E. Martin and Nancy E. Underwood.</w:t>
      </w:r>
    </w:p>
    <w:p>
      <w:pPr>
        <w:spacing w:after="0" w:line="200" w:lineRule="exact"/>
        <w:rPr>
          <w:sz w:val="20"/>
          <w:szCs w:val="20"/>
          <w:color w:val="auto"/>
        </w:rPr>
      </w:pP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has nominated Cecil E. Martin and Nancy E. Underwood for re-election to the Board of Directors.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Biographies for each of our nominees and directors who are continuing in office are provided below. We are also providing additional information, in a separate paragraph immediately below the biographical information, that briefly discusses the specific experience, qualifications and attributes which led to our conclusion that each nominee or director should serve on our Board of Directors.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Three-Year Term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CECIL E. MARTIN</w:t>
      </w:r>
      <w:r>
        <w:rPr>
          <w:rFonts w:ascii="Arial" w:cs="Arial" w:eastAsia="Arial" w:hAnsi="Arial"/>
          <w:sz w:val="18"/>
          <w:szCs w:val="18"/>
          <w:color w:val="auto"/>
        </w:rPr>
        <w:t>, (68)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Director</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Martin has served as a director since 1988 and currently serves as the chairman of our audit committee. Mr. Martin is an independent commercial real estate investor. From 1973 to 1991 he served as chairman of a public accounting firm in Richmond, Virginia. Mr. Martin was a director and chairman of the audit committee of Bois d′Arc Energy, Inc. from 2005 through 2008. He also serves on the boards of directors of Crosstex Energy, Inc. and Crosstex Energy, L.P. where he chairs their compensation committees and serves on their audit committees. Mr. Martin holds a B.B.A. degree from Old Dominion University and is a Certified Public Accountant.</w:t>
      </w:r>
    </w:p>
    <w:p>
      <w:pPr>
        <w:spacing w:after="0" w:line="2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Mr. Martin brings to our Board a combination of financial literacy and business management experience as well an excellent understanding of the capital markets. Mr. Martin has a strong background in internal controls, financial reporting and financial analysis. He works closely with our chief financial officer, independent public accountants and internal auditors on a wide range of issues. His service on the compensation and audit committees of two other publicly traded companies allows him to bring a wide range of experience and insights as part of his service on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NANCY E. UNDERWOOD, </w:t>
      </w:r>
      <w:r>
        <w:rPr>
          <w:rFonts w:ascii="Arial" w:cs="Arial" w:eastAsia="Arial" w:hAnsi="Arial"/>
          <w:sz w:val="18"/>
          <w:szCs w:val="18"/>
          <w:color w:val="auto"/>
        </w:rPr>
        <w:t>(58)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Director</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Ms. Underwood has served as a director since 2004. Ms. Underwood is owner and President of Underwood Financial Ltd., a position she has held since 1986. Ms. Underwood holds B.S. and J.D. degrees from Emory University and practiced law at an Atlanta, Georgia based law firm before joining River Hill Development Corporation in 1981. Ms. Underwood currently serves on the executive board and campaign steering committee of the Southern Methodist University Dedman School of Law and on the board of the Presbyterian Hospital of Dallas Foundation.</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Ms. Underwood has over fourteen years of experience managing a commercial real estate investment company. Along with the legal experience gained from ten years as a practicing attorney, she brings to our Board the business acumen gained from managing a business and knowledge and experience gained from evaluating and closing real estate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Directors Continuing in Office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 JAY ALLISON, </w:t>
      </w:r>
      <w:r>
        <w:rPr>
          <w:rFonts w:ascii="Arial" w:cs="Arial" w:eastAsia="Arial" w:hAnsi="Arial"/>
          <w:sz w:val="18"/>
          <w:szCs w:val="18"/>
          <w:color w:val="auto"/>
        </w:rPr>
        <w:t>(54)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President, Chief Executive Officer and Chairman of the Board of Directors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Mr. Allison has been a director since 1987, and our President and Chief Executive Officer since 1988. Mr. Allison was elected Chairman of the board of directors in 1997. From 1987 to 1988, Mr. Allison served as our Vice President and Secretary. From 1981 to 1987, he was a practicing oil and gas attorney with the firm of Lynch, Chappell &amp; Alsup in Midland, Texas. Mr. Allison was Chairman of the Board of Directors of Bois d′Arc Energy, Inc. from the time of its formation in 2004 through 2008. He received B.B.A., M.S. and J.D. degrees from Baylor University in 1978, 1980 and 1981, respectively. Mr. Allison also currently serves as a Director of Tidewater Marine, Inc., and on the Advisory Board of the Salvation Army in Dallas, Texas.</w:t>
      </w:r>
    </w:p>
    <w:p>
      <w:pPr>
        <w:spacing w:after="0" w:line="2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Allison has over 20 years of executive leadership experience in the oil and gas industry. Mr. Allison combines his educational background in business and in commercial law, along with his entrepreneurial spirit, his driven work ethic and extensive knowledge of the oil and gas industry, to pursue disciplined investments intended to enhance stockholder value. Mr. Allison′s service on the board of directors and audit committee of Tidewater Marine, Inc. also provides him with knowledge, experience and insight from a global perspective.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ROLAND O. BURNS</w:t>
      </w:r>
      <w:r>
        <w:rPr>
          <w:rFonts w:ascii="Arial" w:cs="Arial" w:eastAsia="Arial" w:hAnsi="Arial"/>
          <w:sz w:val="18"/>
          <w:szCs w:val="18"/>
          <w:color w:val="auto"/>
        </w:rPr>
        <w:t>, (50)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Director, Senior Vice President, Chief Financial Officer, Secretary and Treasurer</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Burns has been our Senior Vice President since 1994, Chief Financial Officer and Treasurer since 1990, our Secretary since 1991 and a director since 1999. From 1982 to 1990, Mr. Burns was employed by the public accounting firm, Arthur Andersen. During his tenure with Arthur Andersen, Mr. Burns worked primarily in the firm′s oil and gas audit practice. Mr. Burns was also a director, Senior Vice President and the Chief Financial Officer of Bois d′Arc Energy, Inc. from the time of its formation in 2004 through 2008. Mr. Burns received B.A. and M.A. degrees from the University of Mississippi in 1982 and is a Certified Public Accountant.</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Burns is an experienced financial executive with extensive knowledge and experience in financial reporting, internal controls in the oil and gas industry, treasury and risk management, merger and acquisitions, and regulatory compliance. Mr. Burns works diligently with Mr. Allison to evaluate business development opportunities and financing proposals. Mr. Burns, who is our principal contact with financial analysts, investors and investment bankers, updates the Board on trends in the capital markets, including the availability of debt and equity financing and transactional activity in the oil and gas industry.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K. LOCKETT, </w:t>
      </w:r>
      <w:r>
        <w:rPr>
          <w:rFonts w:ascii="Arial" w:cs="Arial" w:eastAsia="Arial" w:hAnsi="Arial"/>
          <w:sz w:val="18"/>
          <w:szCs w:val="18"/>
          <w:color w:val="auto"/>
        </w:rPr>
        <w:t>(55)</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Director</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Lockett has served as a director since 2001. Mr. Lockett is a Vice President with Dell Inc. and has held executive management positions in several divisions within Dell since 1991. Mr. Lockett has been employed by Dell Inc. for the past 18 years and has been in the technology industry for the past 33 years. Mr. Lockett was a director of Bois d′Arc Energy, Inc. from 2005 through 2008. Mr. Lockett received a B.B.A. degree from Texas A&amp;M University in 1976.</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Lockett joined Dell Inc. during its start-up years and has worked in executive level positions at Dell throughout his career. He is an experienced manager, having supervised large organizations through a series of business cycles in the highly competitive personal computer/peripheral business. Mr. Lockett shares the good business judgment and insight gained from these experiences with our Board and also provides guidance from the perspective gained from a long career in a global market-focused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DAVID W. SLEDGE, </w:t>
      </w:r>
      <w:r>
        <w:rPr>
          <w:rFonts w:ascii="Arial" w:cs="Arial" w:eastAsia="Arial" w:hAnsi="Arial"/>
          <w:sz w:val="18"/>
          <w:szCs w:val="18"/>
          <w:color w:val="auto"/>
        </w:rPr>
        <w:t>(53)</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Director</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Mr. Sledge has served as a director since 1996. Mr. Sledge was President and Chief Operating Officer of Sledge Drilling Company until it was acquired by Basic Energy Services, Inc. in April 2007 and served as a Vice President of Basic Energy Services, Inc. from April 2007 to February 2009. He served as an area operations manager for Patterson-UTI Energy, Inc. from May 2004 until January 2006. From October 1996 until May 2004, Mr. Sledge invested in oil and gas exploration activities. Mr. Sledge was a director of Bois d′Arc Energy, Inc. from 2005 through 2008. Mr. Sledge is a past director of the International Association of Drilling Contractors and is a past chairman of the Permian Basin chapter of this association. He received a B.B.A. degree from Baylor Universi ty in 1979.</w:t>
      </w:r>
    </w:p>
    <w:p>
      <w:pPr>
        <w:spacing w:after="0" w:line="22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Mr. Sledge is an experienced oil field executive who has built both drilling rigs and drilling companies during a career that spans more than 30 years. Mr. Sledge′s experience ranges from founding and directing the operations of a drilling rig business to serving as an executive manager for one of the largest drilling companies in the United States. Mr. Sledge has extensive contacts in the oil and gas industry, which, coupled with his oil field experience, makes him a valuable resource in understanding industry trends, operating practices and business prospects.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officers or directors.</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recommends that stockholders vote FOR the re-election of Mr. Martin and Ms. Underwood. Proxies solicited by the Board of Directors will be so voted unless stockholders specify otherwise in their proxies.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Ratification of Appointment of Independent Registered Public Accounting Firm</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of Directors, upon the recommendation of the audit committee, has appointed Ernst &amp; Young LLP as our independent registered public accounting firm to audit our consolidated financial statements for 2010. Stockholders are being asked to ratify this appointment. Ernst &amp; Young LLP has served in this capacity since 2003. Representatives of Ernst &amp; Young LLP are expected to be present at the annual meeting and will have the opportunity to make a statement if they desire to do so, and will be available to answer your questions.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recommends that stockholders vote FOR such ratification. Proxies solicited by the Board of Directors will be so voted unless stockholders specify otherwise in their proxies.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affirmative vote of the holders of a majority of the shares of common stock present or represented and entitled to vote at the annual meeting is necessary for ratification of the appointment of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 w:name="page13"/>
    <w:bookmarkEnd w:id="12"/>
    <w:p>
      <w:pPr>
        <w:ind w:left="4180"/>
        <w:spacing w:after="0"/>
        <w:rPr>
          <w:sz w:val="20"/>
          <w:szCs w:val="20"/>
          <w:color w:val="auto"/>
        </w:rPr>
      </w:pPr>
      <w:r>
        <w:rPr>
          <w:rFonts w:ascii="Arial" w:cs="Arial" w:eastAsia="Arial" w:hAnsi="Arial"/>
          <w:sz w:val="18"/>
          <w:szCs w:val="18"/>
          <w:b w:val="1"/>
          <w:bCs w:val="1"/>
          <w:color w:val="auto"/>
        </w:rPr>
        <w:t>CORPORATE GOVERNANCE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 and Code of Business Conduct and Ethics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Board of Directors has adopted a set of corporate governance guidelines, a code of business conduct and ethics and a policy regarding the approval of related party transactions. These materials are available on our website at www.comstockresources.com, and are available upon written request to our corporate secretary.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of Director Independence</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rules adopted by the New York Stock Exchange (″NYSE″), we must have a majority of independent directors. No board member qualifies as independent unless the Board of Directors affirmatively determines that the director has no material relationship with us (either directly, or as a partner, shareholder or officer of an organization that has a relationship with us). In evaluating each director′s independence, the Board of Directors considers all relevant facts and circumstances and relationships and transactions between each director, his or her family members or any business, charity or other entity in which the director has an interest in us, our affiliates, or our executives. As a result of this review, the Board of Directors affirmatively determined that Mr. Martin and Ms. Und erwood are independent from us and our management. Of the directors continuing in office, the Board has determined that Messrs. Lockett and Sledge are independent according to the NYSE′s rules.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 Meetings and Committees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Board of Directors held eight meetings during 2009. We have four standing committees: the audit committee, the compensation committee, the corporate governance / nominating committee and the executive committee. During 2009, the audit committee held six meetings and the executive committee, the compensation committee and the corporate governance / nominating committee each held one meeting. All of our directors attended all of the board and their respective committee meetings during 2009. All of our directors are strongly encouraged to attend the annual meeting of stockholders and they all attended the 2009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position of board chairman is filled by our chief executive officer. We believe this combined leadership structure is appropriate for our company because our chairman and chief executive officer (i) conveys a singular, cohesive message to our stockholders, employees, industry partners and the investment community and (ii) eliminates any ambiguity as to who is accountable for company performance. Our directors and management team engage frequently and directly in the flow of information and ideas and we believe our combined leadership structure facilitates the quality, quantity and timeliness of the information flow and communication. Each of our independent directors presides at the executive sessions of non-management directors on a rotating basis.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One of the responsibilities of our Board is to review and evaluate the process in place to assess the major risks facing our company and periodically review management′s assessment of the major risks as well as options for their mitigation. Our Board leadership structure and our practice of a high degree of interaction between our directors and members of senior management facilitates this oversight function. The information flow and communication between our Board and senior management regarding long-term strategic planning and short-term operational reporting includes matters of material risk inherent in our business of exploring for and producing oil and natural gas. Also, our Audit Committee, among other duties, is charged with overseeing significant financial risk exposures and the steps man agement has taken to monitor, control and report such exposures and has compliance oversight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Adoption of Written Charters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Board of Directors has in place charters for each of the audit committee, the compensation committee and the corporate governance / nominating committee. A copy of the charter for each committee is available on our website at www.comstockresources.com. The charters of these committees are also available upon written request to our corporate secretary.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Board of Directors has in place a written policy regarding the approval of related party transactions. At any regularly scheduled audit committee meeting of the year, management will recommend any related party transactions that are contemplated, and such transactions will require the audit committee′s approval. Generally, a ″related party″ is each of our executive officers, directors, nominees for director, any immediate family member of each of the foregoing, any stockholder owning greater than five percent of our outstanding shares, and any entity owned or controlled by any of the foregoing. Transactions that are available to all of our employees generally or totaling less than $5,000 when aggregated with all similar transactions are excluded from the policy.</w:t>
      </w:r>
    </w:p>
    <w:p>
      <w:pPr>
        <w:spacing w:after="0" w:line="22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along with M. Jay Allison, our Chairman of the Board and Chief Executive Officer, and Roland O. Burns, our Senior Vice President and a director, have formed an entity in which we intend to jointly acquire and operate a private airplane. The entity is owned 80% by us and 10% by each of Messrs. Allison and Burns. The initial capitalization of the entity is estimated to be $14.0 million, with each member contributing his or its pro rata share. The airplane will be leased to and managed by a third party operator. The airplane, which is intended to be used primarily for company business purposes, will also be available for charter by third parties and for personal use by Messrs. Allison and Burns. Direct costs associated with the operation of the airplane will be paid by the party u sing the airplane while fixed costs will be paid by the parties based on their relative ownership interest. The transaction was approved by the audit committee in accordance with our policy on related-party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 Nominating Committee</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primary duties of the corporate governance / nominating committee are to assist the Board of Directors in identifying and evaluating candidates for members on our Board of Directors and to nominate candidates for election to our Board of Directors. The members of the corporate governance / nominating committee are Messrs. Lockett (Chairman) and Sledge and Ms. Underwood.</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in its reasonable business judgment, has determined that all three members of the corporate governance / nominating committee are independent under the listing standards of the NYSE and the rules of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 Process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indicated above, the nominating functions of the Board of Directors are handled by the corporate governance / nominating committee pursuant to its charter. In evaluating nominees for membership on the board, the corporate governance / nominating committee applies the board qualification standards set forth in our corporate governance guidelines. Under these qualification standards, the corporate governance / nominating committee will take into account many factors, including education, business, governmental and civic experience, broad and diverse backgrounds, communication, interpersonal and other required skills, independence, wisdom, integrity, an understanding and general acceptance of our current corporate philosophy, a valid business or professional knowledge and experience that can bear on our problems and deliberations, an inquiring mind, the willingness to speak one′s mind and ability to challenge and stimulate management, future orientation and the willingness to commit the required time and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both"/>
        <w:ind w:firstLine="324"/>
        <w:spacing w:after="0" w:line="257" w:lineRule="auto"/>
        <w:rPr>
          <w:sz w:val="20"/>
          <w:szCs w:val="20"/>
          <w:color w:val="auto"/>
        </w:rPr>
      </w:pPr>
      <w:r>
        <w:rPr>
          <w:rFonts w:ascii="Arial" w:cs="Arial" w:eastAsia="Arial" w:hAnsi="Arial"/>
          <w:sz w:val="18"/>
          <w:szCs w:val="18"/>
          <w:color w:val="auto"/>
        </w:rPr>
        <w:t>Other than the foregoing, there are no stated minimum criteria for director nominees, although the corporate governance / nominating committee may consider such other factors as it may deem are in the best interests of us and our stockholders. The corporate governance / nominating committee evaluates each individual in the context of the Board of Directors as a whole, with the objective of recommending nominees who can best perpetuate the success of the business, be an effective director in conjunction with the full board, and represent stockholder interests through the exercise of sound judgment using their diversity of experience in these various areas.</w:t>
      </w:r>
    </w:p>
    <w:p>
      <w:pPr>
        <w:spacing w:after="0" w:line="21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corporate governance / nominating committee regularly assesses the appropriate size of the Board of Directors, and whether any vacancies on the board are expected due to retirement or otherwise. In the event that vacancies are anticipated, or otherwise arise, the corporate governance / nominating committee will consider various potential candidates who may come to the attention of the committee through current board members, professional search firms, stockholders or other persons. Each candidate brought to the attention of the corporate governance / nominating committee, regardless of who recommended such candidate, is considered on the basis of the criteria set forth in our corporate governance guidelines.</w:t>
      </w:r>
    </w:p>
    <w:p>
      <w:pPr>
        <w:spacing w:after="0" w:line="20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stated above, the corporate governance / nominating committee will consider candidates proposed for nomination by our stockholders. Stockholders may propose candidates by submitting the candidate′s name and qualifications for board membership to: Corporate Governance / Nominating Committee, c/o Roland O. Burns, Corporate Secretary, Comstock Resources, Inc., 5300 Town and Country Boulevard, Suite 500, Frisco, Texas 75034. Although the corporate governance / nominating committee does not require the stockholder to submit any particular information regarding the qualifications of the stockholder′s candidate, the level of consideration that the corporate governance / nominating committee will give to the stockholder′s candidate will be commensurate with the quality and quantity of information abo ut the candidate that the nominating stockholder makes available to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2009, our non-employee directors received directors′ fees of $75,000 per year. In addition, the chairman of each committee received an additional retainer as follows: audit - $60,000, compensation - $18,000 and corporate governance / nominating - $10,000. In 2010, the director fees for our non-employee directors increased to $78,000 per year and the additional retainers to be paid to the chairman of each committee are as follows: audit - $63,000, compensation - $19,000, and corporate governance / nominating - $11,000. In addition, we reimburse our directors for expenses, including travel, they incur in connection with attending board or committee meetings.</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compensation of our non-employee directors for services during 2009. Our executive officers do not receive additional compensation for serving on the Board of Directors. The following table sets forth certain information regarding compensation earned during our latest fiscal year by each of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4"/>
              </w:rPr>
              <w:t>Grant Date Fair Value</w:t>
            </w: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jc w:val="right"/>
              <w:ind w:right="268"/>
              <w:spacing w:after="0" w:line="149" w:lineRule="exact"/>
              <w:rPr>
                <w:sz w:val="20"/>
                <w:szCs w:val="20"/>
                <w:color w:val="auto"/>
              </w:rPr>
            </w:pPr>
            <w:r>
              <w:rPr>
                <w:rFonts w:ascii="Arial" w:cs="Arial" w:eastAsia="Arial" w:hAnsi="Arial"/>
                <w:sz w:val="14"/>
                <w:szCs w:val="14"/>
                <w:b w:val="1"/>
                <w:bCs w:val="1"/>
                <w:i w:val="1"/>
                <w:iCs w:val="1"/>
                <w:color w:val="auto"/>
              </w:rPr>
              <w:t>Fees Earned or</w:t>
            </w:r>
          </w:p>
        </w:tc>
        <w:tc>
          <w:tcPr>
            <w:tcW w:w="3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of Stock</w:t>
            </w:r>
          </w:p>
        </w:tc>
        <w:tc>
          <w:tcPr>
            <w:tcW w:w="3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24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i w:val="1"/>
                <w:iCs w:val="1"/>
                <w:color w:val="auto"/>
              </w:rPr>
              <w:t>Name of Director</w:t>
            </w:r>
            <w:r>
              <w:rPr>
                <w:rFonts w:ascii="Arial" w:cs="Arial" w:eastAsia="Arial" w:hAnsi="Arial"/>
                <w:sz w:val="10"/>
                <w:szCs w:val="10"/>
                <w:b w:val="1"/>
                <w:bCs w:val="1"/>
                <w:i w:val="1"/>
                <w:iCs w:val="1"/>
                <w:color w:val="auto"/>
              </w:rPr>
              <w:t>(1)</w:t>
            </w:r>
          </w:p>
        </w:tc>
        <w:tc>
          <w:tcPr>
            <w:tcW w:w="240" w:type="dxa"/>
            <w:vAlign w:val="bottom"/>
          </w:tcPr>
          <w:p>
            <w:pPr>
              <w:spacing w:after="0"/>
              <w:rPr>
                <w:sz w:val="15"/>
                <w:szCs w:val="15"/>
                <w:color w:val="auto"/>
              </w:rPr>
            </w:pPr>
          </w:p>
        </w:tc>
        <w:tc>
          <w:tcPr>
            <w:tcW w:w="16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i w:val="1"/>
                <w:iCs w:val="1"/>
                <w:color w:val="auto"/>
              </w:rPr>
              <w:t>Paid in Cash</w:t>
            </w:r>
          </w:p>
        </w:tc>
        <w:tc>
          <w:tcPr>
            <w:tcW w:w="36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Awards</w:t>
            </w:r>
            <w:r>
              <w:rPr>
                <w:rFonts w:ascii="Arial" w:cs="Arial" w:eastAsia="Arial" w:hAnsi="Arial"/>
                <w:sz w:val="10"/>
                <w:szCs w:val="10"/>
                <w:b w:val="1"/>
                <w:bCs w:val="1"/>
                <w:i w:val="1"/>
                <w:iCs w:val="1"/>
                <w:color w:val="auto"/>
                <w:w w:val="89"/>
              </w:rPr>
              <w:t>(2)</w:t>
            </w:r>
          </w:p>
        </w:tc>
        <w:tc>
          <w:tcPr>
            <w:tcW w:w="360" w:type="dxa"/>
            <w:vAlign w:val="bottom"/>
          </w:tcPr>
          <w:p>
            <w:pPr>
              <w:spacing w:after="0"/>
              <w:rPr>
                <w:sz w:val="15"/>
                <w:szCs w:val="15"/>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i w:val="1"/>
                <w:iCs w:val="1"/>
                <w:color w:val="auto"/>
              </w:rPr>
              <w:t>Total</w:t>
            </w: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rPr>
              <w:t>David K. Lockett</w:t>
            </w:r>
          </w:p>
        </w:tc>
        <w:tc>
          <w:tcPr>
            <w:tcW w:w="240" w:type="dxa"/>
            <w:vAlign w:val="bottom"/>
          </w:tcPr>
          <w:p>
            <w:pPr>
              <w:spacing w:after="0"/>
              <w:rPr>
                <w:sz w:val="11"/>
                <w:szCs w:val="11"/>
                <w:color w:val="auto"/>
              </w:rPr>
            </w:pPr>
          </w:p>
        </w:tc>
        <w:tc>
          <w:tcPr>
            <w:tcW w:w="162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$85,000</w:t>
            </w:r>
          </w:p>
        </w:tc>
        <w:tc>
          <w:tcPr>
            <w:tcW w:w="360" w:type="dxa"/>
            <w:vAlign w:val="bottom"/>
          </w:tcPr>
          <w:p>
            <w:pPr>
              <w:spacing w:after="0"/>
              <w:rPr>
                <w:sz w:val="11"/>
                <w:szCs w:val="11"/>
                <w:color w:val="auto"/>
              </w:rPr>
            </w:pPr>
          </w:p>
        </w:tc>
        <w:tc>
          <w:tcPr>
            <w:tcW w:w="1360" w:type="dxa"/>
            <w:vAlign w:val="bottom"/>
          </w:tcPr>
          <w:p>
            <w:pPr>
              <w:jc w:val="right"/>
              <w:ind w:right="428"/>
              <w:spacing w:after="0" w:line="130" w:lineRule="exact"/>
              <w:rPr>
                <w:sz w:val="20"/>
                <w:szCs w:val="20"/>
                <w:color w:val="auto"/>
              </w:rPr>
            </w:pPr>
            <w:r>
              <w:rPr>
                <w:rFonts w:ascii="Arial" w:cs="Arial" w:eastAsia="Arial" w:hAnsi="Arial"/>
                <w:sz w:val="14"/>
                <w:szCs w:val="14"/>
                <w:color w:val="auto"/>
              </w:rPr>
              <w:t>$922,080</w:t>
            </w:r>
          </w:p>
        </w:tc>
        <w:tc>
          <w:tcPr>
            <w:tcW w:w="360" w:type="dxa"/>
            <w:vAlign w:val="bottom"/>
          </w:tcPr>
          <w:p>
            <w:pPr>
              <w:spacing w:after="0"/>
              <w:rPr>
                <w:sz w:val="11"/>
                <w:szCs w:val="11"/>
                <w:color w:val="auto"/>
              </w:rPr>
            </w:pPr>
          </w:p>
        </w:tc>
        <w:tc>
          <w:tcPr>
            <w:tcW w:w="1480" w:type="dxa"/>
            <w:vAlign w:val="bottom"/>
          </w:tcPr>
          <w:p>
            <w:pPr>
              <w:jc w:val="right"/>
              <w:ind w:right="428"/>
              <w:spacing w:after="0" w:line="130" w:lineRule="exact"/>
              <w:rPr>
                <w:sz w:val="20"/>
                <w:szCs w:val="20"/>
                <w:color w:val="auto"/>
              </w:rPr>
            </w:pPr>
            <w:r>
              <w:rPr>
                <w:rFonts w:ascii="Arial" w:cs="Arial" w:eastAsia="Arial" w:hAnsi="Arial"/>
                <w:sz w:val="14"/>
                <w:szCs w:val="14"/>
                <w:color w:val="auto"/>
              </w:rPr>
              <w:t>$1,007,080</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Cecil E. Martin</w:t>
            </w:r>
          </w:p>
        </w:tc>
        <w:tc>
          <w:tcPr>
            <w:tcW w:w="18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$135,000</w:t>
            </w:r>
          </w:p>
        </w:tc>
        <w:tc>
          <w:tcPr>
            <w:tcW w:w="1720" w:type="dxa"/>
            <w:vAlign w:val="bottom"/>
            <w:gridSpan w:val="2"/>
          </w:tcPr>
          <w:p>
            <w:pPr>
              <w:jc w:val="right"/>
              <w:ind w:right="428"/>
              <w:spacing w:after="0" w:line="149" w:lineRule="exact"/>
              <w:rPr>
                <w:sz w:val="20"/>
                <w:szCs w:val="20"/>
                <w:color w:val="auto"/>
              </w:rPr>
            </w:pPr>
            <w:r>
              <w:rPr>
                <w:rFonts w:ascii="Arial" w:cs="Arial" w:eastAsia="Arial" w:hAnsi="Arial"/>
                <w:sz w:val="14"/>
                <w:szCs w:val="14"/>
                <w:color w:val="auto"/>
              </w:rPr>
              <w:t>$922,080</w:t>
            </w:r>
          </w:p>
        </w:tc>
        <w:tc>
          <w:tcPr>
            <w:tcW w:w="1840" w:type="dxa"/>
            <w:vAlign w:val="bottom"/>
            <w:gridSpan w:val="2"/>
          </w:tcPr>
          <w:p>
            <w:pPr>
              <w:jc w:val="right"/>
              <w:ind w:right="428"/>
              <w:spacing w:after="0" w:line="149" w:lineRule="exact"/>
              <w:rPr>
                <w:sz w:val="20"/>
                <w:szCs w:val="20"/>
                <w:color w:val="auto"/>
              </w:rPr>
            </w:pPr>
            <w:r>
              <w:rPr>
                <w:rFonts w:ascii="Arial" w:cs="Arial" w:eastAsia="Arial" w:hAnsi="Arial"/>
                <w:sz w:val="14"/>
                <w:szCs w:val="14"/>
                <w:color w:val="auto"/>
              </w:rPr>
              <w:t>$1,057,080</w:t>
            </w:r>
          </w:p>
        </w:tc>
      </w:tr>
      <w:tr>
        <w:trPr>
          <w:trHeight w:val="182"/>
        </w:trPr>
        <w:tc>
          <w:tcPr>
            <w:tcW w:w="2420" w:type="dxa"/>
            <w:vAlign w:val="bottom"/>
            <w:gridSpan w:val="2"/>
          </w:tcPr>
          <w:p>
            <w:pPr>
              <w:spacing w:after="0"/>
              <w:rPr>
                <w:sz w:val="20"/>
                <w:szCs w:val="20"/>
                <w:color w:val="auto"/>
              </w:rPr>
            </w:pPr>
            <w:r>
              <w:rPr>
                <w:rFonts w:ascii="Arial" w:cs="Arial" w:eastAsia="Arial" w:hAnsi="Arial"/>
                <w:sz w:val="14"/>
                <w:szCs w:val="14"/>
                <w:color w:val="auto"/>
              </w:rPr>
              <w:t>David W. Sledge</w:t>
            </w:r>
          </w:p>
        </w:tc>
        <w:tc>
          <w:tcPr>
            <w:tcW w:w="1860" w:type="dxa"/>
            <w:vAlign w:val="bottom"/>
            <w:gridSpan w:val="2"/>
          </w:tcPr>
          <w:p>
            <w:pPr>
              <w:jc w:val="right"/>
              <w:ind w:right="108"/>
              <w:spacing w:after="0"/>
              <w:rPr>
                <w:sz w:val="20"/>
                <w:szCs w:val="20"/>
                <w:color w:val="auto"/>
              </w:rPr>
            </w:pPr>
            <w:r>
              <w:rPr>
                <w:rFonts w:ascii="Arial" w:cs="Arial" w:eastAsia="Arial" w:hAnsi="Arial"/>
                <w:sz w:val="14"/>
                <w:szCs w:val="14"/>
                <w:color w:val="auto"/>
              </w:rPr>
              <w:t>$93,000</w:t>
            </w:r>
          </w:p>
        </w:tc>
        <w:tc>
          <w:tcPr>
            <w:tcW w:w="1720" w:type="dxa"/>
            <w:vAlign w:val="bottom"/>
            <w:gridSpan w:val="2"/>
          </w:tcPr>
          <w:p>
            <w:pPr>
              <w:jc w:val="right"/>
              <w:ind w:right="428"/>
              <w:spacing w:after="0"/>
              <w:rPr>
                <w:sz w:val="20"/>
                <w:szCs w:val="20"/>
                <w:color w:val="auto"/>
              </w:rPr>
            </w:pPr>
            <w:r>
              <w:rPr>
                <w:rFonts w:ascii="Arial" w:cs="Arial" w:eastAsia="Arial" w:hAnsi="Arial"/>
                <w:sz w:val="14"/>
                <w:szCs w:val="14"/>
                <w:color w:val="auto"/>
              </w:rPr>
              <w:t>$922,080</w:t>
            </w:r>
          </w:p>
        </w:tc>
        <w:tc>
          <w:tcPr>
            <w:tcW w:w="1840" w:type="dxa"/>
            <w:vAlign w:val="bottom"/>
            <w:gridSpan w:val="2"/>
          </w:tcPr>
          <w:p>
            <w:pPr>
              <w:jc w:val="right"/>
              <w:ind w:right="428"/>
              <w:spacing w:after="0"/>
              <w:rPr>
                <w:sz w:val="20"/>
                <w:szCs w:val="20"/>
                <w:color w:val="auto"/>
              </w:rPr>
            </w:pPr>
            <w:r>
              <w:rPr>
                <w:rFonts w:ascii="Arial" w:cs="Arial" w:eastAsia="Arial" w:hAnsi="Arial"/>
                <w:sz w:val="14"/>
                <w:szCs w:val="14"/>
                <w:color w:val="auto"/>
              </w:rPr>
              <w:t>$1,015,080</w:t>
            </w:r>
          </w:p>
        </w:tc>
      </w:tr>
      <w:tr>
        <w:trPr>
          <w:trHeight w:val="216"/>
        </w:trPr>
        <w:tc>
          <w:tcPr>
            <w:tcW w:w="2420" w:type="dxa"/>
            <w:vAlign w:val="bottom"/>
            <w:gridSpan w:val="2"/>
          </w:tcPr>
          <w:p>
            <w:pPr>
              <w:spacing w:after="0"/>
              <w:rPr>
                <w:sz w:val="20"/>
                <w:szCs w:val="20"/>
                <w:color w:val="auto"/>
              </w:rPr>
            </w:pPr>
            <w:r>
              <w:rPr>
                <w:rFonts w:ascii="Arial" w:cs="Arial" w:eastAsia="Arial" w:hAnsi="Arial"/>
                <w:sz w:val="14"/>
                <w:szCs w:val="14"/>
                <w:color w:val="auto"/>
              </w:rPr>
              <w:t>Nancy E. Underwood</w:t>
            </w:r>
          </w:p>
        </w:tc>
        <w:tc>
          <w:tcPr>
            <w:tcW w:w="1860" w:type="dxa"/>
            <w:vAlign w:val="bottom"/>
            <w:gridSpan w:val="2"/>
          </w:tcPr>
          <w:p>
            <w:pPr>
              <w:jc w:val="right"/>
              <w:ind w:right="108"/>
              <w:spacing w:after="0"/>
              <w:rPr>
                <w:sz w:val="20"/>
                <w:szCs w:val="20"/>
                <w:color w:val="auto"/>
              </w:rPr>
            </w:pPr>
            <w:r>
              <w:rPr>
                <w:rFonts w:ascii="Arial" w:cs="Arial" w:eastAsia="Arial" w:hAnsi="Arial"/>
                <w:sz w:val="14"/>
                <w:szCs w:val="14"/>
                <w:color w:val="auto"/>
              </w:rPr>
              <w:t>$75,000</w:t>
            </w:r>
          </w:p>
        </w:tc>
        <w:tc>
          <w:tcPr>
            <w:tcW w:w="1720" w:type="dxa"/>
            <w:vAlign w:val="bottom"/>
            <w:gridSpan w:val="2"/>
          </w:tcPr>
          <w:p>
            <w:pPr>
              <w:jc w:val="right"/>
              <w:ind w:right="428"/>
              <w:spacing w:after="0"/>
              <w:rPr>
                <w:sz w:val="20"/>
                <w:szCs w:val="20"/>
                <w:color w:val="auto"/>
              </w:rPr>
            </w:pPr>
            <w:r>
              <w:rPr>
                <w:rFonts w:ascii="Arial" w:cs="Arial" w:eastAsia="Arial" w:hAnsi="Arial"/>
                <w:sz w:val="14"/>
                <w:szCs w:val="14"/>
                <w:color w:val="auto"/>
              </w:rPr>
              <w:t>$922,080</w:t>
            </w:r>
          </w:p>
        </w:tc>
        <w:tc>
          <w:tcPr>
            <w:tcW w:w="1840" w:type="dxa"/>
            <w:vAlign w:val="bottom"/>
            <w:gridSpan w:val="2"/>
          </w:tcPr>
          <w:p>
            <w:pPr>
              <w:jc w:val="right"/>
              <w:ind w:right="428"/>
              <w:spacing w:after="0"/>
              <w:rPr>
                <w:sz w:val="20"/>
                <w:szCs w:val="20"/>
                <w:color w:val="auto"/>
              </w:rPr>
            </w:pPr>
            <w:r>
              <w:rPr>
                <w:rFonts w:ascii="Arial" w:cs="Arial" w:eastAsia="Arial" w:hAnsi="Arial"/>
                <w:sz w:val="14"/>
                <w:szCs w:val="14"/>
                <w:color w:val="auto"/>
              </w:rPr>
              <w:t>$997,080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12693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4" w:lineRule="exact"/>
        <w:rPr>
          <w:sz w:val="20"/>
          <w:szCs w:val="20"/>
          <w:color w:val="auto"/>
        </w:rPr>
      </w:pPr>
    </w:p>
    <w:p>
      <w:pPr>
        <w:ind w:left="1100" w:right="700" w:hanging="403"/>
        <w:spacing w:after="0" w:line="235" w:lineRule="auto"/>
        <w:tabs>
          <w:tab w:leader="none" w:pos="11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non-employee directors held stock options as of December 31, 2009 in the following amounts: Mr. Lockett–35,000 shares, Mr. Martin–30,000 shares, Mr. Sledge–10,000 shares, and Ms. Underwood–30,000 shares.</w:t>
      </w:r>
    </w:p>
    <w:p>
      <w:pPr>
        <w:ind w:left="1100" w:hanging="403"/>
        <w:spacing w:after="0"/>
        <w:tabs>
          <w:tab w:leader="none" w:pos="11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Amounts represent restricted stock grants of 24,000 shares per director in 2009 with a grant date fair value of $38.42 per share. Such shares vest 33⅓% for each year of service.</w:t>
      </w:r>
    </w:p>
    <w:p>
      <w:pPr>
        <w:spacing w:after="0" w:line="186"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8"/>
          <w:szCs w:val="18"/>
          <w:color w:val="auto"/>
        </w:rPr>
        <w:t>During 2009 each director received grants of restricted stock which vest 33⅓% for each year of service subsequent to the grant date beginning May 19, 2010. The grants were intended to be compensation for a three year period. The following table sets forth certain information with respect to the value of the restricted stock grants made in 2009.</w:t>
      </w:r>
    </w:p>
    <w:p>
      <w:pPr>
        <w:spacing w:after="0" w:line="200" w:lineRule="exact"/>
        <w:rPr>
          <w:sz w:val="20"/>
          <w:szCs w:val="20"/>
          <w:color w:val="auto"/>
        </w:rPr>
      </w:pP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1"/>
              </w:rPr>
              <w:t>Number of</w:t>
            </w:r>
          </w:p>
        </w:tc>
        <w:tc>
          <w:tcPr>
            <w:tcW w:w="3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6"/>
              </w:rPr>
              <w:t>Grant Date Fair</w:t>
            </w: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Restricted</w:t>
            </w:r>
          </w:p>
        </w:tc>
        <w:tc>
          <w:tcPr>
            <w:tcW w:w="3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Value of Restricted</w:t>
            </w:r>
          </w:p>
        </w:tc>
      </w:tr>
      <w:tr>
        <w:trPr>
          <w:trHeight w:val="174"/>
        </w:trPr>
        <w:tc>
          <w:tcPr>
            <w:tcW w:w="20" w:type="dxa"/>
            <w:vAlign w:val="bottom"/>
          </w:tcPr>
          <w:p>
            <w:pPr>
              <w:spacing w:after="0"/>
              <w:rPr>
                <w:sz w:val="15"/>
                <w:szCs w:val="15"/>
                <w:color w:val="auto"/>
              </w:rPr>
            </w:pPr>
          </w:p>
        </w:tc>
        <w:tc>
          <w:tcPr>
            <w:tcW w:w="238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i w:val="1"/>
                <w:iCs w:val="1"/>
                <w:color w:val="auto"/>
              </w:rPr>
              <w:t>Name of Director</w:t>
            </w:r>
          </w:p>
        </w:tc>
        <w:tc>
          <w:tcPr>
            <w:tcW w:w="22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4"/>
              </w:rPr>
              <w:t>Grant Date</w:t>
            </w:r>
          </w:p>
        </w:tc>
        <w:tc>
          <w:tcPr>
            <w:tcW w:w="32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Shares (#)</w:t>
            </w:r>
            <w:r>
              <w:rPr>
                <w:rFonts w:ascii="Arial" w:cs="Arial" w:eastAsia="Arial" w:hAnsi="Arial"/>
                <w:sz w:val="10"/>
                <w:szCs w:val="10"/>
                <w:b w:val="1"/>
                <w:bCs w:val="1"/>
                <w:i w:val="1"/>
                <w:iCs w:val="1"/>
                <w:color w:val="auto"/>
                <w:w w:val="90"/>
              </w:rPr>
              <w:t>(1)</w:t>
            </w:r>
          </w:p>
        </w:tc>
        <w:tc>
          <w:tcPr>
            <w:tcW w:w="34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6"/>
              </w:rPr>
              <w:t>Stock Awards</w:t>
            </w:r>
          </w:p>
        </w:tc>
      </w:tr>
      <w:tr>
        <w:trPr>
          <w:trHeight w:val="130"/>
        </w:trPr>
        <w:tc>
          <w:tcPr>
            <w:tcW w:w="20" w:type="dxa"/>
            <w:vAlign w:val="bottom"/>
          </w:tcPr>
          <w:p>
            <w:pPr>
              <w:spacing w:after="0"/>
              <w:rPr>
                <w:sz w:val="11"/>
                <w:szCs w:val="11"/>
                <w:color w:val="auto"/>
              </w:rPr>
            </w:pPr>
          </w:p>
        </w:tc>
        <w:tc>
          <w:tcPr>
            <w:tcW w:w="2380" w:type="dxa"/>
            <w:vAlign w:val="bottom"/>
          </w:tcPr>
          <w:p>
            <w:pPr>
              <w:spacing w:after="0" w:line="130" w:lineRule="exact"/>
              <w:rPr>
                <w:sz w:val="20"/>
                <w:szCs w:val="20"/>
                <w:color w:val="auto"/>
              </w:rPr>
            </w:pPr>
            <w:r>
              <w:rPr>
                <w:rFonts w:ascii="Arial" w:cs="Arial" w:eastAsia="Arial" w:hAnsi="Arial"/>
                <w:sz w:val="14"/>
                <w:szCs w:val="14"/>
                <w:color w:val="auto"/>
              </w:rPr>
              <w:t>David K. Lockett</w:t>
            </w:r>
          </w:p>
        </w:tc>
        <w:tc>
          <w:tcPr>
            <w:tcW w:w="220" w:type="dxa"/>
            <w:vAlign w:val="bottom"/>
          </w:tcPr>
          <w:p>
            <w:pPr>
              <w:spacing w:after="0"/>
              <w:rPr>
                <w:sz w:val="11"/>
                <w:szCs w:val="11"/>
                <w:color w:val="auto"/>
              </w:rPr>
            </w:pPr>
          </w:p>
        </w:tc>
        <w:tc>
          <w:tcPr>
            <w:tcW w:w="1520" w:type="dxa"/>
            <w:vAlign w:val="bottom"/>
          </w:tcPr>
          <w:p>
            <w:pPr>
              <w:jc w:val="center"/>
              <w:spacing w:after="0" w:line="130" w:lineRule="exact"/>
              <w:rPr>
                <w:sz w:val="20"/>
                <w:szCs w:val="20"/>
                <w:color w:val="auto"/>
              </w:rPr>
            </w:pPr>
            <w:r>
              <w:rPr>
                <w:rFonts w:ascii="Arial" w:cs="Arial" w:eastAsia="Arial" w:hAnsi="Arial"/>
                <w:sz w:val="14"/>
                <w:szCs w:val="14"/>
                <w:color w:val="auto"/>
                <w:w w:val="94"/>
              </w:rPr>
              <w:t>May 19, 2009</w:t>
            </w:r>
          </w:p>
        </w:tc>
        <w:tc>
          <w:tcPr>
            <w:tcW w:w="320" w:type="dxa"/>
            <w:vAlign w:val="bottom"/>
          </w:tcPr>
          <w:p>
            <w:pPr>
              <w:spacing w:after="0"/>
              <w:rPr>
                <w:sz w:val="11"/>
                <w:szCs w:val="11"/>
                <w:color w:val="auto"/>
              </w:rPr>
            </w:pPr>
          </w:p>
        </w:tc>
        <w:tc>
          <w:tcPr>
            <w:tcW w:w="1520" w:type="dxa"/>
            <w:vAlign w:val="bottom"/>
          </w:tcPr>
          <w:p>
            <w:pPr>
              <w:jc w:val="center"/>
              <w:spacing w:after="0" w:line="130" w:lineRule="exact"/>
              <w:rPr>
                <w:sz w:val="20"/>
                <w:szCs w:val="20"/>
                <w:color w:val="auto"/>
              </w:rPr>
            </w:pPr>
            <w:r>
              <w:rPr>
                <w:rFonts w:ascii="Arial" w:cs="Arial" w:eastAsia="Arial" w:hAnsi="Arial"/>
                <w:sz w:val="14"/>
                <w:szCs w:val="14"/>
                <w:color w:val="auto"/>
                <w:w w:val="93"/>
              </w:rPr>
              <w:t>24,000</w:t>
            </w:r>
          </w:p>
        </w:tc>
        <w:tc>
          <w:tcPr>
            <w:tcW w:w="340" w:type="dxa"/>
            <w:vAlign w:val="bottom"/>
          </w:tcPr>
          <w:p>
            <w:pPr>
              <w:spacing w:after="0"/>
              <w:rPr>
                <w:sz w:val="11"/>
                <w:szCs w:val="11"/>
                <w:color w:val="auto"/>
              </w:rPr>
            </w:pPr>
          </w:p>
        </w:tc>
        <w:tc>
          <w:tcPr>
            <w:tcW w:w="1540" w:type="dxa"/>
            <w:vAlign w:val="bottom"/>
          </w:tcPr>
          <w:p>
            <w:pPr>
              <w:jc w:val="center"/>
              <w:spacing w:after="0" w:line="130" w:lineRule="exact"/>
              <w:rPr>
                <w:sz w:val="20"/>
                <w:szCs w:val="20"/>
                <w:color w:val="auto"/>
              </w:rPr>
            </w:pPr>
            <w:r>
              <w:rPr>
                <w:rFonts w:ascii="Arial" w:cs="Arial" w:eastAsia="Arial" w:hAnsi="Arial"/>
                <w:sz w:val="14"/>
                <w:szCs w:val="14"/>
                <w:color w:val="auto"/>
                <w:w w:val="92"/>
              </w:rPr>
              <w:t>$922,080</w:t>
            </w: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Cecil E. Martin</w:t>
            </w: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4"/>
              </w:rPr>
              <w:t>May 19, 2009</w:t>
            </w:r>
          </w:p>
        </w:tc>
        <w:tc>
          <w:tcPr>
            <w:tcW w:w="1840" w:type="dxa"/>
            <w:vAlign w:val="bottom"/>
            <w:gridSpan w:val="2"/>
          </w:tcPr>
          <w:p>
            <w:pPr>
              <w:jc w:val="center"/>
              <w:ind w:left="248"/>
              <w:spacing w:after="0" w:line="149" w:lineRule="exact"/>
              <w:rPr>
                <w:sz w:val="20"/>
                <w:szCs w:val="20"/>
                <w:color w:val="auto"/>
              </w:rPr>
            </w:pPr>
            <w:r>
              <w:rPr>
                <w:rFonts w:ascii="Arial" w:cs="Arial" w:eastAsia="Arial" w:hAnsi="Arial"/>
                <w:sz w:val="14"/>
                <w:szCs w:val="14"/>
                <w:color w:val="auto"/>
                <w:w w:val="93"/>
              </w:rPr>
              <w:t>24,000</w:t>
            </w:r>
          </w:p>
        </w:tc>
        <w:tc>
          <w:tcPr>
            <w:tcW w:w="1880" w:type="dxa"/>
            <w:vAlign w:val="bottom"/>
            <w:gridSpan w:val="2"/>
          </w:tcPr>
          <w:p>
            <w:pPr>
              <w:jc w:val="center"/>
              <w:ind w:left="268"/>
              <w:spacing w:after="0" w:line="149" w:lineRule="exact"/>
              <w:rPr>
                <w:sz w:val="20"/>
                <w:szCs w:val="20"/>
                <w:color w:val="auto"/>
              </w:rPr>
            </w:pPr>
            <w:r>
              <w:rPr>
                <w:rFonts w:ascii="Arial" w:cs="Arial" w:eastAsia="Arial" w:hAnsi="Arial"/>
                <w:sz w:val="14"/>
                <w:szCs w:val="14"/>
                <w:color w:val="auto"/>
                <w:w w:val="92"/>
              </w:rPr>
              <w:t>$922,080</w:t>
            </w:r>
          </w:p>
        </w:tc>
      </w:tr>
      <w:tr>
        <w:trPr>
          <w:trHeight w:val="182"/>
        </w:trPr>
        <w:tc>
          <w:tcPr>
            <w:tcW w:w="2400" w:type="dxa"/>
            <w:vAlign w:val="bottom"/>
            <w:gridSpan w:val="2"/>
          </w:tcPr>
          <w:p>
            <w:pPr>
              <w:spacing w:after="0"/>
              <w:rPr>
                <w:sz w:val="20"/>
                <w:szCs w:val="20"/>
                <w:color w:val="auto"/>
              </w:rPr>
            </w:pPr>
            <w:r>
              <w:rPr>
                <w:rFonts w:ascii="Arial" w:cs="Arial" w:eastAsia="Arial" w:hAnsi="Arial"/>
                <w:sz w:val="14"/>
                <w:szCs w:val="14"/>
                <w:color w:val="auto"/>
              </w:rPr>
              <w:t>David W. Sledge</w:t>
            </w:r>
          </w:p>
        </w:tc>
        <w:tc>
          <w:tcPr>
            <w:tcW w:w="2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4"/>
              </w:rPr>
              <w:t>May 19, 2009</w:t>
            </w:r>
          </w:p>
        </w:tc>
        <w:tc>
          <w:tcPr>
            <w:tcW w:w="1840" w:type="dxa"/>
            <w:vAlign w:val="bottom"/>
            <w:gridSpan w:val="2"/>
          </w:tcPr>
          <w:p>
            <w:pPr>
              <w:jc w:val="center"/>
              <w:ind w:left="248"/>
              <w:spacing w:after="0"/>
              <w:rPr>
                <w:sz w:val="20"/>
                <w:szCs w:val="20"/>
                <w:color w:val="auto"/>
              </w:rPr>
            </w:pPr>
            <w:r>
              <w:rPr>
                <w:rFonts w:ascii="Arial" w:cs="Arial" w:eastAsia="Arial" w:hAnsi="Arial"/>
                <w:sz w:val="14"/>
                <w:szCs w:val="14"/>
                <w:color w:val="auto"/>
                <w:w w:val="93"/>
              </w:rPr>
              <w:t>24,000</w:t>
            </w:r>
          </w:p>
        </w:tc>
        <w:tc>
          <w:tcPr>
            <w:tcW w:w="1880" w:type="dxa"/>
            <w:vAlign w:val="bottom"/>
            <w:gridSpan w:val="2"/>
          </w:tcPr>
          <w:p>
            <w:pPr>
              <w:jc w:val="center"/>
              <w:ind w:left="268"/>
              <w:spacing w:after="0"/>
              <w:rPr>
                <w:sz w:val="20"/>
                <w:szCs w:val="20"/>
                <w:color w:val="auto"/>
              </w:rPr>
            </w:pPr>
            <w:r>
              <w:rPr>
                <w:rFonts w:ascii="Arial" w:cs="Arial" w:eastAsia="Arial" w:hAnsi="Arial"/>
                <w:sz w:val="14"/>
                <w:szCs w:val="14"/>
                <w:color w:val="auto"/>
                <w:w w:val="92"/>
              </w:rPr>
              <w:t>$922,080</w:t>
            </w:r>
          </w:p>
        </w:tc>
      </w:tr>
      <w:tr>
        <w:trPr>
          <w:trHeight w:val="216"/>
        </w:trPr>
        <w:tc>
          <w:tcPr>
            <w:tcW w:w="2400" w:type="dxa"/>
            <w:vAlign w:val="bottom"/>
            <w:gridSpan w:val="2"/>
          </w:tcPr>
          <w:p>
            <w:pPr>
              <w:spacing w:after="0"/>
              <w:rPr>
                <w:sz w:val="20"/>
                <w:szCs w:val="20"/>
                <w:color w:val="auto"/>
              </w:rPr>
            </w:pPr>
            <w:r>
              <w:rPr>
                <w:rFonts w:ascii="Arial" w:cs="Arial" w:eastAsia="Arial" w:hAnsi="Arial"/>
                <w:sz w:val="14"/>
                <w:szCs w:val="14"/>
                <w:color w:val="auto"/>
              </w:rPr>
              <w:t>Nancy E. Underwood</w:t>
            </w:r>
          </w:p>
        </w:tc>
        <w:tc>
          <w:tcPr>
            <w:tcW w:w="2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4"/>
              </w:rPr>
              <w:t>May 19, 2009</w:t>
            </w:r>
          </w:p>
        </w:tc>
        <w:tc>
          <w:tcPr>
            <w:tcW w:w="1840" w:type="dxa"/>
            <w:vAlign w:val="bottom"/>
            <w:gridSpan w:val="2"/>
          </w:tcPr>
          <w:p>
            <w:pPr>
              <w:jc w:val="center"/>
              <w:ind w:left="248"/>
              <w:spacing w:after="0"/>
              <w:rPr>
                <w:sz w:val="20"/>
                <w:szCs w:val="20"/>
                <w:color w:val="auto"/>
              </w:rPr>
            </w:pPr>
            <w:r>
              <w:rPr>
                <w:rFonts w:ascii="Arial" w:cs="Arial" w:eastAsia="Arial" w:hAnsi="Arial"/>
                <w:sz w:val="14"/>
                <w:szCs w:val="14"/>
                <w:color w:val="auto"/>
                <w:w w:val="93"/>
              </w:rPr>
              <w:t>24,000</w:t>
            </w:r>
          </w:p>
        </w:tc>
        <w:tc>
          <w:tcPr>
            <w:tcW w:w="1880" w:type="dxa"/>
            <w:vAlign w:val="bottom"/>
            <w:gridSpan w:val="2"/>
          </w:tcPr>
          <w:p>
            <w:pPr>
              <w:jc w:val="center"/>
              <w:ind w:left="268"/>
              <w:spacing w:after="0"/>
              <w:rPr>
                <w:sz w:val="20"/>
                <w:szCs w:val="20"/>
                <w:color w:val="auto"/>
              </w:rPr>
            </w:pPr>
            <w:r>
              <w:rPr>
                <w:rFonts w:ascii="Arial" w:cs="Arial" w:eastAsia="Arial" w:hAnsi="Arial"/>
                <w:sz w:val="14"/>
                <w:szCs w:val="14"/>
                <w:color w:val="auto"/>
                <w:w w:val="92"/>
              </w:rPr>
              <w:t>$922,080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12693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4" w:lineRule="exact"/>
        <w:rPr>
          <w:sz w:val="20"/>
          <w:szCs w:val="20"/>
          <w:color w:val="auto"/>
        </w:rPr>
      </w:pPr>
    </w:p>
    <w:p>
      <w:pPr>
        <w:ind w:left="1100" w:hanging="403"/>
        <w:spacing w:after="0"/>
        <w:tabs>
          <w:tab w:leader="none" w:pos="11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Vest 8,000 shares per year on each of May 19, 2010, 2011 and 2012.</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Compensation Committee may award stock options, restricted stock, stock appreciation rights, restricted stock units or performance units to non-employee directors in its discretion under the 2009 Long-term Incentive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16(a) of the Securities Exchange Act of 1934 requires our executive officers, directors and persons who own more than 10% of our common stock to file with the Commission and the NYSE initial reports of ownership of our common stock and other equity securities, and reports of certain transactions in our securities. Such persons are required by the Commission regulations to furnish us with copies of all Section 16(a) forms they file. The Commission regulations require us to identify anyone who filed a required report late during the most recent fiscal year. Based upon a review of these records and amendments thereto, all of these filing requirements for 2009 were timely met.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primary responsibility of the audit committee is to assist the Board of Directors in overseeing management and the independent registered public accounting firm in fulfilling their responsibilities in the financial reporting process of our company. The members of the audit committee are Messrs. Martin (Chairman), Lockett and Sledge.</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Board of Directors, in its reasonable business judgment, has determined that all three members of the audit committee are independent under the listing standards of the NYSE and the rules of the Commission. In addition, the Board of Directors has determined that Mr. Martin is an ″audit committee financial expert,″ as such term is defined in Item 407(d)(5)(ii) of Regulation S-K promulgated by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Audit Committee Report</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audit committee assists the Board of Directors in overseeing: (1) the integrity of Comstock′s financial statements, (2) Comstock′s compliance with legal and regulatory requirements, (3) the independence, qualifications and performance of Comstock′s independent registered public accounting firm and (4) Comstock′s performance of its internal audit function. The Board of Directors has made a determination that the members of the audit committee satisfy the requirements of the NYSE listing standards as to independence, financial literacy and experience. The Board of Directors also determined that Mr. Martin is an ″audit committee financial expert,″ as defined by the rules of the Commission. The Audit Committee has in place a procedure for receiving and addressing anonymous complaints regarding financial or accounting irregularities. The audit committee set up a toll free ethics and compliance hotline managed by an independent third party. This hotline is available 24 hours a day, seven days a week, to enable employees to communicate concerns to management without fear of retaliation.</w:t>
      </w:r>
    </w:p>
    <w:p>
      <w:pPr>
        <w:spacing w:after="0" w:line="2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Management is responsible for the preparation, presentation and integrity of Comstock′s financial statements, accounting and financial reporting principles, and internal controls and procedures designed to assure compliance with accounting standards and applicable laws and regulations. The independent registered public accounting firm is responsible for performing an independent audit of the consolidated financial statements in accordance with generally accepted auditing standards. Consistent with its oversight role, the audit committee met with Ernst &amp; Young LLP with and without management present to discuss the results of their examinations and evaluations of Comstock′s internal controls. The audit committee also reviewed and discussed Comstock′s compliance with Section 404 of t he Sarbanes-Oxley Act of 2002, including the Public Company Accounting Oversight Board′s Auditing Standard No. 5 regarding the audit of internal control over financial reporting.</w:t>
      </w:r>
    </w:p>
    <w:p>
      <w:pPr>
        <w:spacing w:after="0" w:line="2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Ernst &amp; Young LLP served as Comstock′s independent registered public accounting firm during 2009, and the audit committee has recommended, and the Board of Directors has approved, the reappointment of Ernst &amp; Young LLP as the Company′s independent registered public accounting firm for 2010. Representatives of Ernst &amp; Young LLP will be present at the annual meeting and will have the opportunity to make a statement and respond to appropriate questions from stockholders.</w:t>
      </w:r>
    </w:p>
    <w:p>
      <w:pPr>
        <w:spacing w:after="0" w:line="21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performing its oversight role, the audit committee has reviewed and discussed the audited financial statements with management and the independent registered public accounting firm. The committee has also discussed with the independent registered public accounting firm the matters required to be discussed by Statement on Auditing Standards No. 61, as amended (AICPA, Professional Standards, Vol. 1 AU section 380), as adopted by the Public Company Accounting Oversight Board in Rule 3200T. The committee has received the written disclosures and the letter from Ernst &amp; Young LLP required by applicable requirements of the Public Company Accounting Oversight Board regarding Ernst &amp; Young LLP′s communications with the audit committee concerning independence, as currently in effect, and has discussed with Ernst &amp; Young LLP the firm′s independence.</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the review and discussions referred to in the above paragraph, the audit committee recommended to the Board of Directors that the audited financial statements be included in the Annual Report on Form 10-K for the fiscal year ended December 31, 2009,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7" w:name="page18"/>
    <w:bookmarkEnd w:id="17"/>
    <w:p>
      <w:pPr>
        <w:jc w:val="both"/>
        <w:ind w:firstLine="324"/>
        <w:spacing w:after="0" w:line="253" w:lineRule="auto"/>
        <w:rPr>
          <w:sz w:val="20"/>
          <w:szCs w:val="20"/>
          <w:color w:val="auto"/>
        </w:rPr>
      </w:pPr>
      <w:r>
        <w:rPr>
          <w:rFonts w:ascii="Arial" w:cs="Arial" w:eastAsia="Arial" w:hAnsi="Arial"/>
          <w:sz w:val="18"/>
          <w:szCs w:val="18"/>
          <w:color w:val="auto"/>
        </w:rPr>
        <w:t>The members of the audit committee are not professionally engaged in the practice of auditing or accounting for Comstock and are not experts in auditor independence standards. Members of the audit committee rely without independent verification on the information provided to them and on the representations made by management and Comstock′s registered public accounting firm.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 ssure that the audit of Comstock′s financial statements has been carried out in accordance with generally accepted auditing standards, that the financial statements are presented in accordance with generally accepted accounting principles, or that Ernst &amp; Young LLP is in fact independent. The independent registered public accounting firm is responsible for performing an audit of the financial statements and of management′s assessment of the effectiveness of the Company′s internal control over financial reporting in accordance with the standards of the Public Accounting Oversight Board.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Cecil E. Martin, Chairman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David K. Lockett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David W. Sledge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primary duties of the compensation committee are to assist the Board of Directors in establishing remuneration arrangements for executive officers and directors and to administer our executive compensation programs. The members of the compensation committee are Messrs. Sledge (Chairman), Lockett and Martin. The compensation committee reviews and discusses with management the Compensation Discussion and Analysis (the ″CD&amp;A″) required by the Commission and recommends to the Board that the CD&amp;A be included in our proxy statement. The compensation committee also produces an annual compensation committee report for inclusion in our proxy statement.</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in its reasonable business judgment, has determined that all three members of the compensation committee are independent under the listing standards of the NYSE and the rules of the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None of the members of the compensation committee are, or have been, employees of Comstock or are employees of any entity for which an executive officer serves on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compensation committee determines the objectives for Comstock′s executive compensation and benefit programs and discharges the responsibilities relating to the compensation of Comstock′s executive officers. The specific duties of the compensation committee are set forth in its charter, which was adopted by the Board of Directors. The compensation committee has reviewed and discussed the CD&amp;A contained on pages 14 through 24 of this proxy statement with management and, based upon this review and discussion the committee, recommended to the Board of Directors, and the Board approved, that the CD&amp;A be included in this proxy statement and incorporated by reference into the Company′s Annual Report on Form 10-K for the fiscal year ended December 31,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25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David W. Sledge, Chairman</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David K. Lockett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Cecil E. Martin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Overview and Objectives of Our Executive Compensation Program. </w:t>
      </w:r>
      <w:r>
        <w:rPr>
          <w:rFonts w:ascii="Arial" w:cs="Arial" w:eastAsia="Arial" w:hAnsi="Arial"/>
          <w:sz w:val="18"/>
          <w:szCs w:val="18"/>
          <w:color w:val="auto"/>
        </w:rPr>
        <w:t>Our compensation committee has responsibility for establishing and administering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objectives, policies and plans for our executive officers. All of our executive officers are compensated pursuant to the same executive compensation program. Both the compensation program and the executive officers′ compensation are approved by the compensation committee. The compensation committee bases its decisions concerning specific compensation elements and total compensation paid or awarded to our executive officers on several different objectives, which include:</w:t>
      </w:r>
    </w:p>
    <w:p>
      <w:pPr>
        <w:spacing w:after="0" w:line="215" w:lineRule="exact"/>
        <w:rPr>
          <w:sz w:val="20"/>
          <w:szCs w:val="20"/>
          <w:color w:val="auto"/>
        </w:rPr>
      </w:pPr>
    </w:p>
    <w:p>
      <w:pPr>
        <w:ind w:left="660" w:hanging="139"/>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compensation that is competitive with compensation of companies that have operations similar to us and are in similar markets for executive talent;</w:t>
      </w:r>
    </w:p>
    <w:p>
      <w:pPr>
        <w:spacing w:after="0" w:line="1"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Encouraging both short-term and long-term performance focus, promoting stockholder value through strategic business decisions and achievement of performance objectives;</w:t>
      </w:r>
    </w:p>
    <w:p>
      <w:pPr>
        <w:ind w:left="660" w:hanging="139"/>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incentive compensation intended to vary with our and the individual′s performance, while appropriately moderating the impact of the cyclical nature of our business; and</w:t>
      </w:r>
    </w:p>
    <w:p>
      <w:pPr>
        <w:ind w:left="660" w:hanging="139"/>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Facilitating ownership of our common stock by our executive officers through equity-based incentives so that management′s interests are closely aligned with those of stockholders in terms of both risk and reward.</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compensation committee generally meets each December to approve base salary for the upcoming year, the bonuses to be paid taking into account performance in the current year and to grant any stock-based awards. The base salary, bonuses and stock-based compensation in 2009 reflect our financial and operating performance for fiscal year 2009.</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Financial and Operating Performance During 2009. </w:t>
      </w:r>
      <w:r>
        <w:rPr>
          <w:rFonts w:ascii="Arial" w:cs="Arial" w:eastAsia="Arial" w:hAnsi="Arial"/>
          <w:sz w:val="16"/>
          <w:szCs w:val="16"/>
          <w:color w:val="auto"/>
        </w:rPr>
        <w:t>The compensation committee considered both strategic accomplishments and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for 2009 in evaluating overall performance. The committee considered that the Company′s management had repositioned Comstock as a resource play company and successfully made the transition from the conventional Cotton Valley and South Texas drilling program to the challenging unconventional horizontal drilling program in the emerging Haynesville shale during 2009. Comstock is now viewed as one of the leaders in the Haynesville shale play and is well positioned for future reserve and production growth as a result of the successful Haynesville shale program. This was all accomplished in a c hallenging year with low natural gas prices. Our Haynesville shale drilling program was the primary driver of production and reserve growth in 2009. By the fourth quarter of 2009 production had increased by 27% from the prior year and by 13% from the prior quarter. In one year, production from Haynesville shale grew from 1.5 MMcfe per day to 40% of the Company′s production during the fourth quarter of 2009 at 84 MMcfe per day. The Haynesville drilling activity added 325 Bcfe of proved reserves and was the major driver of the 25% growth in proved reserves that was achieved in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jc w:val="both"/>
        <w:ind w:firstLine="324"/>
        <w:spacing w:after="0" w:line="257" w:lineRule="auto"/>
        <w:rPr>
          <w:sz w:val="20"/>
          <w:szCs w:val="20"/>
          <w:color w:val="auto"/>
        </w:rPr>
      </w:pPr>
      <w:r>
        <w:rPr>
          <w:rFonts w:ascii="Arial" w:cs="Arial" w:eastAsia="Arial" w:hAnsi="Arial"/>
          <w:sz w:val="18"/>
          <w:szCs w:val="18"/>
          <w:color w:val="auto"/>
        </w:rPr>
        <w:t>In evaluating our financial performance for 2009, the compensation committee considered our performance in the context of the year′s economic environment. We reported a net loss of $0.81 per share in 2009 as compared to net income from continuing operations of $1.26 per share in 2008. These results were primarily due to the significant decline in oil and natural gas prices during 2009. While our one year stock price performance in 2009 declined from 2008, our stock price returns for the two year and five year periods continued to be among the top ten stocks within a group of publicly traded U.S. independent exploration and production companies.</w:t>
      </w:r>
    </w:p>
    <w:p>
      <w:pPr>
        <w:spacing w:after="0" w:line="21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Compensation Components. </w:t>
      </w:r>
      <w:r>
        <w:rPr>
          <w:rFonts w:ascii="Arial" w:cs="Arial" w:eastAsia="Arial" w:hAnsi="Arial"/>
          <w:sz w:val="16"/>
          <w:szCs w:val="16"/>
          <w:color w:val="auto"/>
        </w:rPr>
        <w:t>Compensation components for our executive officers include base salary, an annual cash bonus, restricted stock awards,</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supplemental retirement benefits and employment agreements which provide post-termination compensation in certain circumstances for certain executives. The elements of our compensation program did not change from 2009 to 2010 and have remained consistent over the past five years. The compensation committee has not established formal policies or guidelines with respect to the mix of base salary, annual cash bonus and stock-based awards to be paid or awarded to the executive officers. In general, the compensation committee believes that a greater percentage of the compensation for the executive o fficers and other senior members of management should be stock-based awards and should be based on individual and overall corporate performance to align the interests of our executive officers with our stockholders. Our compensation program is consistently applied such that all employees are focused upon achieving success within a consistent risk profile. The deferred vesting of stock-based compensation is intended to ensure that all employees remain focused upon building stockholder value through disciplined investments, and there are no compensation incentives which are reasonably likely to have a material adverse effect on the company. Most of our stock awards vest four years from the award date.</w:t>
      </w:r>
    </w:p>
    <w:p>
      <w:pPr>
        <w:spacing w:after="0" w:line="19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compensation committee evaluates certain data each year in reviewing the total compensation to be paid to all of our employees. The compensation committee compared our total compensation for all employees and proposed total employee compensation to other exploration and production companies with comparable operations, utilizing an industry-wide survey in which we participate, to obtain a general understanding of current compensation practices. This survey, the Effective Compensation, Inc. 2009 Oil and Gas Compensation Survey, provides data on compensation for management, professional and support positions, and draws on survey responses from 119 participating companies. In addition, in establishing compensation for our executive officers, the compensation committee considers proxy statement data ref lecting salary, bonus and stock-based incentive awards and other compensation practices of forty to fifty exploration and production companies. This review is ad hoc and informal, but the committee does not formally ″benchmark″ the compensation of our executive officers against a peer group. The compensation committee determined that the Chief Executive Officer′s recommendations for employee and executive compensation were appropriate and approved the compensation as proposed.</w:t>
      </w:r>
    </w:p>
    <w:p>
      <w:pPr>
        <w:spacing w:after="0" w:line="1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salaries for executive officers were based upon each individual′s responsibilities, experience and performance, taking into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among other things, the individual′s initiative, contributions to our overall 2009 performance, managerial ability and handling of special projects. These same factors are applied to establish base salaries for other key management employees. Base salaries for executive officers generally are reviewed annually for possible adjustment, but are not necessarily changed that frequently. The Chief Executive Officer recommends the base salary for himself and the other executive officers. Each executive officer recommends the base salary for all employees that are in the e xecutive officer′s areas of responsibility. The Chief Executive Officer and the Chief Financial Officer review the recommendations for salaries and bonuses for all other employees and adjust them as they deem appropriate. The compensation committee reviews the recommendations for all employees after approval by the Chief Executive Officer and approves them or adjusts them as they deem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jc w:val="both"/>
        <w:ind w:firstLine="324"/>
        <w:spacing w:after="0" w:line="279" w:lineRule="auto"/>
        <w:rPr>
          <w:sz w:val="20"/>
          <w:szCs w:val="20"/>
          <w:color w:val="auto"/>
        </w:rPr>
      </w:pPr>
      <w:r>
        <w:rPr>
          <w:rFonts w:ascii="Arial" w:cs="Arial" w:eastAsia="Arial" w:hAnsi="Arial"/>
          <w:sz w:val="17"/>
          <w:szCs w:val="17"/>
          <w:color w:val="auto"/>
        </w:rPr>
        <w:t>The compensation committee′s evaluation of each executive officer′s performance is subjective; no specific written criteria or formulas, and no pre-determined targets, are used in determining salary or bonus. The factors considered in compensation decisions are not weighted, but are viewed collectively. During 2009, there were no material differences in how the compensation committee made its decisions with respect to any individual executive officer. Salaries of our executive officers for 2010 were set by the compensation committee at its meeting in December 2009.</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Salaries for 2010 were increased by 4% on average for all executive officers and employees. In 2009, executive officers′ salaries were increased by 6% on average, while the base salaries for all employees were increased by an average of 8%. The compensation committee determined that the reduced rate of increase was appropriate in light of current economic conditions.</w:t>
      </w:r>
    </w:p>
    <w:p>
      <w:pPr>
        <w:spacing w:after="0" w:line="20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Bonuses. </w:t>
      </w:r>
      <w:r>
        <w:rPr>
          <w:rFonts w:ascii="Arial" w:cs="Arial" w:eastAsia="Arial" w:hAnsi="Arial"/>
          <w:sz w:val="17"/>
          <w:szCs w:val="17"/>
          <w:color w:val="auto"/>
        </w:rPr>
        <w:t>Annual cash bonuses for all full-time employees are provided in order to promote achievement of our business objectives of increasing</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value by growing production and reserves on a profitable basis. All of our full-time employees participate in an annual bonus plan with the same performance objectives as those used for executive officers. The annual bonus awards are also intended to assist executives in meeting income tax obligations associated with restricted stock vesting, which is a significant component of the executives′ compensation. Our performance, together with each executive officer′s individual performance, resulted in no increase in annual cash awards for 2010 to our executive officers. Similar to base salaries, the Chief Executive Officer recommends the annual bonus for himself and for each executive officer. Each executive officer recommends the annual bonus for all employees that are under that executive officer′s areas of responsibility. The Chief Executive Officer and the Chief Financial Officer review the recommendations for bonuses for all other employees and adjust them as they deem appropriate. At its meeting in December 2009, the Compensation Committee reviewed the recommendations approved by the Chief Executive Officer and awarded annual cash bonuses for 2010.</w:t>
      </w:r>
    </w:p>
    <w:p>
      <w:pPr>
        <w:spacing w:after="0" w:line="20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compensation committee determined that cash bonuses for 2010 should be the same as bonuses for 2009. In making its decision, the compensation committee considered our performance relative to other exploration and production companies during 2009, our accomplishments in achieving a strong balance sheet with sufficient liquidity to weather current economic conditions, and our success in evaluating and developing new reserves in the Haynesville Shale formation. Another important factor is the income tax liability that our executive officers incur upon the vesting of restricted stock grants. It is expected that required tax withholdings will in some cases equal or exceed an executive′s annual bonus. The payment of bonuses adequate to cover tax costs encourages executives to retain thei r vested shares. This enables our officers to meet the requirements of our stock ownership and retention policy.</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Stock-Based Awards. </w:t>
      </w:r>
      <w:r>
        <w:rPr>
          <w:rFonts w:ascii="Arial" w:cs="Arial" w:eastAsia="Arial" w:hAnsi="Arial"/>
          <w:sz w:val="17"/>
          <w:szCs w:val="17"/>
          <w:color w:val="auto"/>
        </w:rPr>
        <w:t>Our executive officers and other key employees were eligible to receive stock-based awards under our 2009 Long-term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″2009 Plan″). The objectives of the 2009 Plan are to attract and retain key employees, to motivate them to achieve long-range goals and to reward individual performance. Because employees′ compensation from stock-based awards is based on our stock price performance, the compensation committee believes stock-based awards create a strong incentive to improve long-term financial performance and increase stockholder value. Factors used to set the range of stock-based awards granted include management′s and the compensation committee′s perception of the ince ntive necessary to motivate individuals to join the company and the role and impact of the various management levels in achieving key strategic results. Awards made in 2009 under the 2009 Plan to executive officers and other employees consisted entirely of restricted stock grants. Stock-based awards are forfeited if such individuals do not remain employees for the vesting period. Initial grants of restricted stock generally vest 25% per annum over a period of four years from the date of grant. Subsequent grants made after the initial grant vest in full four years from the date of the award. The compensation committee has determined that this four-year vesting schedule for restricted stock grants enhances the retention value of these awards. The compensation committee believes that the retention value of restricted stock grants supports additional awards to our executive officers who already own a significant number of shares because at any giv en date, each executive officer has four years of awards subject to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ind w:firstLine="324"/>
        <w:spacing w:after="0" w:line="272" w:lineRule="auto"/>
        <w:rPr>
          <w:sz w:val="20"/>
          <w:szCs w:val="20"/>
          <w:color w:val="auto"/>
        </w:rPr>
      </w:pPr>
      <w:r>
        <w:rPr>
          <w:rFonts w:ascii="Arial" w:cs="Arial" w:eastAsia="Arial" w:hAnsi="Arial"/>
          <w:sz w:val="17"/>
          <w:szCs w:val="17"/>
          <w:color w:val="auto"/>
        </w:rPr>
        <w:t>Stock-based awards are authorized at regularly scheduled meetings of the Board of Directors and the compensation committee, and in recent years, as part of the Board of Directors meeting in December. The Chief Executive Officer recommends stock-based awards for himself and for our other executive officers. The compensation committee reviews the recommendations and adjusts the awards as they deem appropriate. In December 2009, the compensation committee, based upon the recommendations of the Chief Executive Officer, awarded a total of 456,325 shares of restricted stock to executive officers and key employees under the 2009 Plan, 369,000 of which were awarded to our named executive officers. The number of shares of restricted stock awarded to executive officers in 2009 increased by approximate ly 12% from those granted during 2008 reflecting the significant accomplishments achieved in 2009. The compensation committee did not award any stock options during 2009.</w:t>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Supplemental Executive Retirement Plan. </w:t>
      </w:r>
      <w:r>
        <w:rPr>
          <w:rFonts w:ascii="Arial" w:cs="Arial" w:eastAsia="Arial" w:hAnsi="Arial"/>
          <w:sz w:val="18"/>
          <w:szCs w:val="18"/>
          <w:color w:val="auto"/>
        </w:rPr>
        <w:t>We also have in place a supplemental retirement plan for our executive officers. The purpose of this plan is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supplemental retirement benefits to all of our executive officers. Under this plan, we contribute five percent of each participant′s annual cash compensation to purchase a variable universal life insurance policy. Each participant directs the investment of the policy′s cash values among a selection of mutual funds offered by the carrier. During employment, the participants may designate a beneficiary to receive payment of the death benefit (reduced by the amount of the premiums paid by us, which are repaid to us), but have no other rights of ownership in t he policy. Upon a participant′s retirement or after four years of service or upon a change of control of our company, the policy will be transferred to the participant. Contributions to this plan totaled $458,000 in 2009.</w:t>
      </w:r>
    </w:p>
    <w:p>
      <w:pPr>
        <w:spacing w:after="0" w:line="2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Other Benefits. </w:t>
      </w:r>
      <w:r>
        <w:rPr>
          <w:rFonts w:ascii="Arial" w:cs="Arial" w:eastAsia="Arial" w:hAnsi="Arial"/>
          <w:sz w:val="16"/>
          <w:szCs w:val="16"/>
          <w:color w:val="auto"/>
        </w:rPr>
        <w:t>Our executive officers receive medical, group life insurance and other benefits including matching contributions under our 401(k) plan</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available generally to all of our salaried employees over 21 years of age. We have no defined benefit retirement plans for any of our employees.</w:t>
      </w:r>
    </w:p>
    <w:p>
      <w:pPr>
        <w:spacing w:after="0" w:line="15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Stock Ownership and Retention Requirements. </w:t>
      </w:r>
      <w:r>
        <w:rPr>
          <w:rFonts w:ascii="Arial" w:cs="Arial" w:eastAsia="Arial" w:hAnsi="Arial"/>
          <w:sz w:val="18"/>
          <w:szCs w:val="18"/>
          <w:color w:val="auto"/>
        </w:rPr>
        <w:t>We have a stock ownership and retention policy that applies to each of our directors and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Chief Operating Officer, Chief Financial Officer and all Vice Presidents. The purpose of the ownership requirements is to further our goal of increasing stockholder value and to further align the interests of our directors and key executives with the interests of our stockholders. Satisfaction of the policy requires that individuals attain and retain holdings of our common stock with a cost basis equal to the following multiple of the individual′s compensation, defined as either a director′s cash retainer fee or an officer′s base salary:</w:t>
      </w:r>
    </w:p>
    <w:p>
      <w:pPr>
        <w:spacing w:after="0" w:line="215" w:lineRule="exact"/>
        <w:rPr>
          <w:sz w:val="20"/>
          <w:szCs w:val="20"/>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1x for non-employee directors;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3x for the Chief Operating Officer and all Vice Presidents;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5x for the Chief Executive Officer and Chief Financial Officer.</w:t>
      </w:r>
    </w:p>
    <w:p>
      <w:pPr>
        <w:spacing w:after="0" w:line="23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An individual′s cost basis is equal to (1) his or her actual cost, in the case of purchases in the open market, (2) the fair market value of the shares at the date of exercise of stock options or stock appreciation rights, or (3) the fair market value of the shares at the date of vesting of restricted shares, restricted stock units or performance units. Each person′s stock ownership requirement will be adjusted annually each January 1 to reflect any changes in his or her retainer or base salary. For the purpose of counting the shares owned, only vested share equivalents under Comstock-sponsored plans will count as shares owned. Share equivalents will not include any amounts attributable to outstanding unexercised stock options or unvested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jc w:val="both"/>
        <w:ind w:firstLine="324"/>
        <w:spacing w:after="0" w:line="273" w:lineRule="auto"/>
        <w:rPr>
          <w:sz w:val="20"/>
          <w:szCs w:val="20"/>
          <w:color w:val="auto"/>
        </w:rPr>
      </w:pPr>
      <w:r>
        <w:rPr>
          <w:rFonts w:ascii="Arial" w:cs="Arial" w:eastAsia="Arial" w:hAnsi="Arial"/>
          <w:sz w:val="17"/>
          <w:szCs w:val="17"/>
          <w:color w:val="auto"/>
        </w:rPr>
        <w:t>Generally, individuals have a five-year period to attain their stock ownership requirements, so that directors and executives subject to the ownership requirements as of January 1, 2009 are required to achieve their goals by January 1, 2014. At any time at which the individual′s stock ownership requirement has not been met, including during the initial five-year period to attain compliance, the individual will be required to retain at least 50% of ″Net Shares″ received upon vesting of restricted stock, restricted stock units and performance units. ″Net Shares″ are defined to include shares of common stock that are owned by the individual after shares are sold, swapped or traded to pay applicable withholding taxes. Subsequent to achieving the initial stock ownership require ment, all directors and executives are required to continuously maintain stock ownership at their specified levels.</w:t>
      </w:r>
    </w:p>
    <w:p>
      <w:pPr>
        <w:spacing w:after="0" w:line="20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If an individual does not meet the applicable ownership requirements, then he or she is subject to certain restrictions upon the vesting of equity awards, and may only dispose of shares for particular reasons set forth in the policy and upon receipt of permission for the transfer by the corporate secretary.</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policy provides a hardship exemption, for which an individual must submit a request to the corporate secretary, who will review the request with the Chief Executive Officer, or the chairman of the nominating/corporate governance committee in the case of a request by the chairman or Chief Executive Officer, and will make the final decision.</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our request, and at least annually, individuals subject to the ownership requirements are required to provide a schedule disclosing the number and cost basis of shares owned. The ownership requirements are administered by the corporate secretary. Our Board of Directors may amend the ownership requirements in its sole discretion. Presently Ms. Underwood and Messrs. Allison, Burns, Gillette, Good and Singer have attained or exceeded their ownership requirements under this policy.</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Limitation on Income Tax Deduction for Executive Compensation. </w:t>
      </w:r>
      <w:r>
        <w:rPr>
          <w:rFonts w:ascii="Arial" w:cs="Arial" w:eastAsia="Arial" w:hAnsi="Arial"/>
          <w:sz w:val="17"/>
          <w:szCs w:val="17"/>
          <w:color w:val="auto"/>
        </w:rPr>
        <w:t>Section 162(m) of the Internal Revenue Code of 1986, as amended, generally limits</w:t>
      </w:r>
      <w:r>
        <w:rPr>
          <w:rFonts w:ascii="Arial" w:cs="Arial" w:eastAsia="Arial" w:hAnsi="Arial"/>
          <w:sz w:val="17"/>
          <w:szCs w:val="17"/>
          <w:i w:val="1"/>
          <w:iCs w:val="1"/>
          <w:color w:val="auto"/>
        </w:rPr>
        <w:t xml:space="preserve"> </w:t>
      </w:r>
      <w:r>
        <w:rPr>
          <w:rFonts w:ascii="Arial" w:cs="Arial" w:eastAsia="Arial" w:hAnsi="Arial"/>
          <w:sz w:val="17"/>
          <w:szCs w:val="17"/>
          <w:color w:val="auto"/>
        </w:rPr>
        <w:t>the corporate income tax deduction for compensation paid to each executive officer shown in the summary compensation table in the proxy statement of a public company, other than the Chief Financial Officer, to $1 million, unless the compensation is ″performance-based compensation″ and qualifies under certain other exceptions. Our policy is primarily to design and administer compensation plans which support the achievement of long-term strategic objectives and enhance shareholder value. Where it is consistent with our compensation philosophy, the Compensation Committee will also attempt to str ucture compensation programs that are tax-advantageous to us. Awards of stock options under the 2009 Plan qualify as ″performance based compensation. ″ Awards of restricted stock, restricted stock units, performance units and cash compensation do not qualify.</w:t>
      </w:r>
    </w:p>
    <w:p>
      <w:pPr>
        <w:spacing w:after="0" w:line="20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Risk and Our Employee Compensation Program. </w:t>
      </w:r>
      <w:r>
        <w:rPr>
          <w:rFonts w:ascii="Arial" w:cs="Arial" w:eastAsia="Arial" w:hAnsi="Arial"/>
          <w:sz w:val="17"/>
          <w:szCs w:val="17"/>
          <w:color w:val="auto"/>
        </w:rPr>
        <w:t>The compensation committee reviewed the possible relationship between risk and our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program for all employees. The compensation committee believes that there are no compensation incentives which encourage excessive risk and are reasonably likely to have a material adverse effect on the Company. The design of our incentive compensation program, which seeks to eliminate any excessive risks, includes 1) basing cash bonuses and equity awards on the achievement of our business objectives of increasing stockholder value by growing production and reserves on a profitable basis, 2) the multi-year vesting of restricted stock awards, 3) the use of equity as a significant portion of incentive compensation, and 4) our stock ownership and retention requirements for our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Summary Compensation Table</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Summary Compensation Table reflects the elements of compensation earned by our named executive officers under our executive compensation programs for 2009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3"/>
              </w:rPr>
              <w:t>Non-Qualified</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3"/>
              </w:rPr>
              <w:t>Deferred</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ind w:left="680"/>
              <w:spacing w:after="0" w:line="149" w:lineRule="exact"/>
              <w:rPr>
                <w:sz w:val="20"/>
                <w:szCs w:val="20"/>
                <w:color w:val="auto"/>
              </w:rPr>
            </w:pPr>
            <w:r>
              <w:rPr>
                <w:rFonts w:ascii="Arial" w:cs="Arial" w:eastAsia="Arial" w:hAnsi="Arial"/>
                <w:sz w:val="14"/>
                <w:szCs w:val="14"/>
                <w:b w:val="1"/>
                <w:bCs w:val="1"/>
                <w:i w:val="1"/>
                <w:iCs w:val="1"/>
                <w:color w:val="auto"/>
              </w:rPr>
              <w:t>Name and</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308"/>
              <w:spacing w:after="0" w:line="149" w:lineRule="exact"/>
              <w:rPr>
                <w:sz w:val="20"/>
                <w:szCs w:val="20"/>
                <w:color w:val="auto"/>
              </w:rPr>
            </w:pPr>
            <w:r>
              <w:rPr>
                <w:rFonts w:ascii="Arial" w:cs="Arial" w:eastAsia="Arial" w:hAnsi="Arial"/>
                <w:sz w:val="14"/>
                <w:szCs w:val="14"/>
                <w:b w:val="1"/>
                <w:bCs w:val="1"/>
                <w:i w:val="1"/>
                <w:iCs w:val="1"/>
                <w:color w:val="auto"/>
              </w:rPr>
              <w:t>Stock</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Compensation</w:t>
            </w:r>
          </w:p>
        </w:tc>
        <w:tc>
          <w:tcPr>
            <w:tcW w:w="220" w:type="dxa"/>
            <w:vAlign w:val="bottom"/>
          </w:tcPr>
          <w:p>
            <w:pPr>
              <w:spacing w:after="0"/>
              <w:rPr>
                <w:sz w:val="12"/>
                <w:szCs w:val="12"/>
                <w:color w:val="auto"/>
              </w:rPr>
            </w:pPr>
          </w:p>
        </w:tc>
        <w:tc>
          <w:tcPr>
            <w:tcW w:w="1420" w:type="dxa"/>
            <w:vAlign w:val="bottom"/>
          </w:tcPr>
          <w:p>
            <w:pPr>
              <w:jc w:val="right"/>
              <w:ind w:right="368"/>
              <w:spacing w:after="0" w:line="149" w:lineRule="exact"/>
              <w:rPr>
                <w:sz w:val="20"/>
                <w:szCs w:val="20"/>
                <w:color w:val="auto"/>
              </w:rPr>
            </w:pPr>
            <w:r>
              <w:rPr>
                <w:rFonts w:ascii="Arial" w:cs="Arial" w:eastAsia="Arial" w:hAnsi="Arial"/>
                <w:sz w:val="14"/>
                <w:szCs w:val="14"/>
                <w:b w:val="1"/>
                <w:bCs w:val="1"/>
                <w:i w:val="1"/>
                <w:iCs w:val="1"/>
                <w:color w:val="auto"/>
              </w:rPr>
              <w:t>All Other</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19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i w:val="1"/>
                <w:iCs w:val="1"/>
                <w:color w:val="auto"/>
              </w:rPr>
              <w:t>Principal Position</w:t>
            </w:r>
          </w:p>
        </w:tc>
        <w:tc>
          <w:tcPr>
            <w:tcW w:w="200" w:type="dxa"/>
            <w:vAlign w:val="bottom"/>
          </w:tcPr>
          <w:p>
            <w:pPr>
              <w:spacing w:after="0"/>
              <w:rPr>
                <w:sz w:val="15"/>
                <w:szCs w:val="15"/>
                <w:color w:val="auto"/>
              </w:rPr>
            </w:pP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i w:val="1"/>
                <w:iCs w:val="1"/>
                <w:color w:val="auto"/>
              </w:rPr>
              <w:t>Year</w:t>
            </w:r>
          </w:p>
        </w:tc>
        <w:tc>
          <w:tcPr>
            <w:tcW w:w="200" w:type="dxa"/>
            <w:vAlign w:val="bottom"/>
          </w:tcPr>
          <w:p>
            <w:pPr>
              <w:spacing w:after="0"/>
              <w:rPr>
                <w:sz w:val="15"/>
                <w:szCs w:val="15"/>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i w:val="1"/>
                <w:iCs w:val="1"/>
                <w:color w:val="auto"/>
              </w:rPr>
              <w:t>Salary</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i w:val="1"/>
                <w:iCs w:val="1"/>
                <w:color w:val="auto"/>
              </w:rPr>
              <w:t>Bonus</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i w:val="1"/>
                <w:iCs w:val="1"/>
                <w:color w:val="auto"/>
              </w:rPr>
              <w:t>Awards</w:t>
            </w:r>
            <w:r>
              <w:rPr>
                <w:rFonts w:ascii="Arial" w:cs="Arial" w:eastAsia="Arial" w:hAnsi="Arial"/>
                <w:sz w:val="10"/>
                <w:szCs w:val="10"/>
                <w:b w:val="1"/>
                <w:bCs w:val="1"/>
                <w:i w:val="1"/>
                <w:iCs w:val="1"/>
                <w:color w:val="auto"/>
              </w:rPr>
              <w:t>(1)</w:t>
            </w:r>
          </w:p>
        </w:tc>
        <w:tc>
          <w:tcPr>
            <w:tcW w:w="2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Earnings</w:t>
            </w:r>
            <w:r>
              <w:rPr>
                <w:rFonts w:ascii="Arial" w:cs="Arial" w:eastAsia="Arial" w:hAnsi="Arial"/>
                <w:sz w:val="10"/>
                <w:szCs w:val="10"/>
                <w:b w:val="1"/>
                <w:bCs w:val="1"/>
                <w:i w:val="1"/>
                <w:iCs w:val="1"/>
                <w:color w:val="auto"/>
                <w:w w:val="91"/>
              </w:rPr>
              <w:t>(2)</w:t>
            </w: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i w:val="1"/>
                <w:iCs w:val="1"/>
                <w:color w:val="auto"/>
              </w:rPr>
              <w:t>Compensation</w:t>
            </w:r>
            <w:r>
              <w:rPr>
                <w:rFonts w:ascii="Arial" w:cs="Arial" w:eastAsia="Arial" w:hAnsi="Arial"/>
                <w:sz w:val="10"/>
                <w:szCs w:val="10"/>
                <w:b w:val="1"/>
                <w:bCs w:val="1"/>
                <w:i w:val="1"/>
                <w:iCs w:val="1"/>
                <w:color w:val="auto"/>
              </w:rPr>
              <w:t>(3)(4)</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i w:val="1"/>
                <w:iCs w:val="1"/>
                <w:color w:val="auto"/>
              </w:rPr>
              <w:t>Total</w:t>
            </w:r>
          </w:p>
        </w:tc>
      </w:tr>
      <w:tr>
        <w:trPr>
          <w:trHeight w:val="278"/>
        </w:trPr>
        <w:tc>
          <w:tcPr>
            <w:tcW w:w="2200" w:type="dxa"/>
            <w:vAlign w:val="bottom"/>
            <w:gridSpan w:val="3"/>
          </w:tcPr>
          <w:p>
            <w:pPr>
              <w:spacing w:after="0"/>
              <w:rPr>
                <w:sz w:val="20"/>
                <w:szCs w:val="20"/>
                <w:color w:val="auto"/>
              </w:rPr>
            </w:pPr>
            <w:r>
              <w:rPr>
                <w:rFonts w:ascii="Arial" w:cs="Arial" w:eastAsia="Arial" w:hAnsi="Arial"/>
                <w:sz w:val="14"/>
                <w:szCs w:val="14"/>
                <w:color w:val="auto"/>
              </w:rPr>
              <w:t>M. Jay Allison</w:t>
            </w:r>
          </w:p>
        </w:tc>
        <w:tc>
          <w:tcPr>
            <w:tcW w:w="1180" w:type="dxa"/>
            <w:vAlign w:val="bottom"/>
          </w:tcPr>
          <w:p>
            <w:pPr>
              <w:ind w:left="440"/>
              <w:spacing w:after="0"/>
              <w:rPr>
                <w:sz w:val="20"/>
                <w:szCs w:val="20"/>
                <w:color w:val="auto"/>
              </w:rPr>
            </w:pPr>
            <w:r>
              <w:rPr>
                <w:rFonts w:ascii="Arial" w:cs="Arial" w:eastAsia="Arial" w:hAnsi="Arial"/>
                <w:sz w:val="14"/>
                <w:szCs w:val="14"/>
                <w:color w:val="auto"/>
              </w:rPr>
              <w:t>2009</w:t>
            </w: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w w:val="99"/>
              </w:rPr>
              <w:t>$530,000</w:t>
            </w: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auto"/>
              </w:rPr>
              <w:t>$4,000,000</w:t>
            </w:r>
          </w:p>
        </w:tc>
        <w:tc>
          <w:tcPr>
            <w:tcW w:w="1280" w:type="dxa"/>
            <w:vAlign w:val="bottom"/>
            <w:gridSpan w:val="2"/>
          </w:tcPr>
          <w:p>
            <w:pPr>
              <w:jc w:val="right"/>
              <w:ind w:right="28"/>
              <w:spacing w:after="0"/>
              <w:rPr>
                <w:sz w:val="20"/>
                <w:szCs w:val="20"/>
                <w:color w:val="auto"/>
              </w:rPr>
            </w:pPr>
            <w:r>
              <w:rPr>
                <w:rFonts w:ascii="Arial" w:cs="Arial" w:eastAsia="Arial" w:hAnsi="Arial"/>
                <w:sz w:val="14"/>
                <w:szCs w:val="14"/>
                <w:color w:val="auto"/>
              </w:rPr>
              <w:t>$8,203,500</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$208,316</w:t>
            </w:r>
          </w:p>
        </w:tc>
        <w:tc>
          <w:tcPr>
            <w:tcW w:w="1640" w:type="dxa"/>
            <w:vAlign w:val="bottom"/>
            <w:gridSpan w:val="2"/>
          </w:tcPr>
          <w:p>
            <w:pPr>
              <w:jc w:val="right"/>
              <w:ind w:right="208"/>
              <w:spacing w:after="0"/>
              <w:rPr>
                <w:sz w:val="20"/>
                <w:szCs w:val="20"/>
                <w:color w:val="auto"/>
              </w:rPr>
            </w:pPr>
            <w:r>
              <w:rPr>
                <w:rFonts w:ascii="Arial" w:cs="Arial" w:eastAsia="Arial" w:hAnsi="Arial"/>
                <w:sz w:val="14"/>
                <w:szCs w:val="14"/>
                <w:color w:val="auto"/>
              </w:rPr>
              <w:t>$105,359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$13,047,175</w:t>
            </w:r>
          </w:p>
        </w:tc>
      </w:tr>
      <w:tr>
        <w:trPr>
          <w:trHeight w:val="149"/>
        </w:trPr>
        <w:tc>
          <w:tcPr>
            <w:tcW w:w="20" w:type="dxa"/>
            <w:vAlign w:val="bottom"/>
          </w:tcPr>
          <w:p>
            <w:pPr>
              <w:spacing w:after="0"/>
              <w:rPr>
                <w:sz w:val="12"/>
                <w:szCs w:val="12"/>
                <w:color w:val="auto"/>
              </w:rPr>
            </w:pPr>
          </w:p>
        </w:tc>
        <w:tc>
          <w:tcPr>
            <w:tcW w:w="218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President and Chief Executive</w:t>
            </w:r>
          </w:p>
        </w:tc>
        <w:tc>
          <w:tcPr>
            <w:tcW w:w="1180" w:type="dxa"/>
            <w:vAlign w:val="bottom"/>
          </w:tcPr>
          <w:p>
            <w:pPr>
              <w:ind w:left="440"/>
              <w:spacing w:after="0" w:line="149" w:lineRule="exact"/>
              <w:rPr>
                <w:sz w:val="20"/>
                <w:szCs w:val="20"/>
                <w:color w:val="auto"/>
              </w:rPr>
            </w:pPr>
            <w:r>
              <w:rPr>
                <w:rFonts w:ascii="Arial" w:cs="Arial" w:eastAsia="Arial" w:hAnsi="Arial"/>
                <w:sz w:val="14"/>
                <w:szCs w:val="14"/>
                <w:color w:val="auto"/>
              </w:rPr>
              <w:t>2008</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9"/>
              </w:rPr>
              <w:t>$500,000</w:t>
            </w:r>
          </w:p>
        </w:tc>
        <w:tc>
          <w:tcPr>
            <w:tcW w:w="12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$4,000,000</w:t>
            </w:r>
          </w:p>
        </w:tc>
        <w:tc>
          <w:tcPr>
            <w:tcW w:w="1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$8,862,000</w:t>
            </w:r>
          </w:p>
        </w:tc>
        <w:tc>
          <w:tcPr>
            <w:tcW w:w="220" w:type="dxa"/>
            <w:vAlign w:val="bottom"/>
          </w:tcPr>
          <w:p>
            <w:pPr>
              <w:spacing w:after="0"/>
              <w:rPr>
                <w:sz w:val="12"/>
                <w:szCs w:val="12"/>
                <w:color w:val="auto"/>
              </w:rPr>
            </w:pPr>
          </w:p>
        </w:tc>
        <w:tc>
          <w:tcPr>
            <w:tcW w:w="11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$104,609</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$13,466,609</w:t>
            </w:r>
          </w:p>
        </w:tc>
      </w:tr>
      <w:tr>
        <w:trPr>
          <w:trHeight w:val="182"/>
        </w:trPr>
        <w:tc>
          <w:tcPr>
            <w:tcW w:w="20" w:type="dxa"/>
            <w:vAlign w:val="bottom"/>
          </w:tcPr>
          <w:p>
            <w:pPr>
              <w:spacing w:after="0"/>
              <w:rPr>
                <w:sz w:val="15"/>
                <w:szCs w:val="15"/>
                <w:color w:val="auto"/>
              </w:rPr>
            </w:pPr>
          </w:p>
        </w:tc>
        <w:tc>
          <w:tcPr>
            <w:tcW w:w="2180" w:type="dxa"/>
            <w:vAlign w:val="bottom"/>
            <w:gridSpan w:val="2"/>
          </w:tcPr>
          <w:p>
            <w:pPr>
              <w:ind w:left="160"/>
              <w:spacing w:after="0"/>
              <w:rPr>
                <w:sz w:val="20"/>
                <w:szCs w:val="20"/>
                <w:color w:val="auto"/>
              </w:rPr>
            </w:pPr>
            <w:r>
              <w:rPr>
                <w:rFonts w:ascii="Arial" w:cs="Arial" w:eastAsia="Arial" w:hAnsi="Arial"/>
                <w:sz w:val="14"/>
                <w:szCs w:val="14"/>
                <w:i w:val="1"/>
                <w:iCs w:val="1"/>
                <w:color w:val="auto"/>
              </w:rPr>
              <w:t>Officer</w:t>
            </w:r>
          </w:p>
        </w:tc>
        <w:tc>
          <w:tcPr>
            <w:tcW w:w="1180" w:type="dxa"/>
            <w:vAlign w:val="bottom"/>
          </w:tcPr>
          <w:p>
            <w:pPr>
              <w:ind w:left="440"/>
              <w:spacing w:after="0"/>
              <w:rPr>
                <w:sz w:val="20"/>
                <w:szCs w:val="20"/>
                <w:color w:val="auto"/>
              </w:rPr>
            </w:pPr>
            <w:r>
              <w:rPr>
                <w:rFonts w:ascii="Arial" w:cs="Arial" w:eastAsia="Arial" w:hAnsi="Arial"/>
                <w:sz w:val="14"/>
                <w:szCs w:val="14"/>
                <w:color w:val="auto"/>
              </w:rPr>
              <w:t>2007</w:t>
            </w: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w w:val="99"/>
              </w:rPr>
              <w:t>$459,000</w:t>
            </w: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auto"/>
              </w:rPr>
              <w:t>$2,850,000</w:t>
            </w:r>
          </w:p>
        </w:tc>
        <w:tc>
          <w:tcPr>
            <w:tcW w:w="1280" w:type="dxa"/>
            <w:vAlign w:val="bottom"/>
            <w:gridSpan w:val="2"/>
          </w:tcPr>
          <w:p>
            <w:pPr>
              <w:jc w:val="right"/>
              <w:ind w:right="28"/>
              <w:spacing w:after="0"/>
              <w:rPr>
                <w:sz w:val="20"/>
                <w:szCs w:val="20"/>
                <w:color w:val="auto"/>
              </w:rPr>
            </w:pPr>
            <w:r>
              <w:rPr>
                <w:rFonts w:ascii="Arial" w:cs="Arial" w:eastAsia="Arial" w:hAnsi="Arial"/>
                <w:sz w:val="14"/>
                <w:szCs w:val="14"/>
                <w:color w:val="auto"/>
              </w:rPr>
              <w:t>$6,860,000</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$14,765</w:t>
            </w:r>
          </w:p>
        </w:tc>
        <w:tc>
          <w:tcPr>
            <w:tcW w:w="1640" w:type="dxa"/>
            <w:vAlign w:val="bottom"/>
            <w:gridSpan w:val="2"/>
          </w:tcPr>
          <w:p>
            <w:pPr>
              <w:jc w:val="right"/>
              <w:ind w:right="208"/>
              <w:spacing w:after="0"/>
              <w:rPr>
                <w:sz w:val="20"/>
                <w:szCs w:val="20"/>
                <w:color w:val="auto"/>
              </w:rPr>
            </w:pPr>
            <w:r>
              <w:rPr>
                <w:rFonts w:ascii="Arial" w:cs="Arial" w:eastAsia="Arial" w:hAnsi="Arial"/>
                <w:sz w:val="14"/>
                <w:szCs w:val="14"/>
                <w:color w:val="auto"/>
              </w:rPr>
              <w:t>$104,259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$10,288,024</w:t>
            </w:r>
          </w:p>
        </w:tc>
      </w:tr>
      <w:tr>
        <w:trPr>
          <w:trHeight w:val="208"/>
        </w:trPr>
        <w:tc>
          <w:tcPr>
            <w:tcW w:w="2200" w:type="dxa"/>
            <w:vAlign w:val="bottom"/>
            <w:gridSpan w:val="3"/>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130"/>
        </w:trPr>
        <w:tc>
          <w:tcPr>
            <w:tcW w:w="20" w:type="dxa"/>
            <w:vAlign w:val="bottom"/>
          </w:tcPr>
          <w:p>
            <w:pPr>
              <w:spacing w:after="0"/>
              <w:rPr>
                <w:sz w:val="11"/>
                <w:szCs w:val="11"/>
                <w:color w:val="auto"/>
              </w:rPr>
            </w:pPr>
          </w:p>
        </w:tc>
        <w:tc>
          <w:tcPr>
            <w:tcW w:w="218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color w:val="auto"/>
              </w:rPr>
              <w:t>Roland O. Burns</w:t>
            </w:r>
          </w:p>
        </w:tc>
        <w:tc>
          <w:tcPr>
            <w:tcW w:w="1180" w:type="dxa"/>
            <w:vAlign w:val="bottom"/>
            <w:tcBorders>
              <w:top w:val="single" w:sz="8" w:color="auto"/>
            </w:tcBorders>
          </w:tcPr>
          <w:p>
            <w:pPr>
              <w:ind w:left="440"/>
              <w:spacing w:after="0" w:line="130" w:lineRule="exact"/>
              <w:rPr>
                <w:sz w:val="20"/>
                <w:szCs w:val="20"/>
                <w:color w:val="auto"/>
              </w:rPr>
            </w:pPr>
            <w:r>
              <w:rPr>
                <w:rFonts w:ascii="Arial" w:cs="Arial" w:eastAsia="Arial" w:hAnsi="Arial"/>
                <w:sz w:val="14"/>
                <w:szCs w:val="14"/>
                <w:color w:val="auto"/>
              </w:rPr>
              <w:t>2009</w:t>
            </w:r>
          </w:p>
        </w:tc>
        <w:tc>
          <w:tcPr>
            <w:tcW w:w="1040" w:type="dxa"/>
            <w:vAlign w:val="bottom"/>
            <w:tcBorders>
              <w:top w:val="single" w:sz="8" w:color="auto"/>
            </w:tcBorders>
            <w:gridSpan w:val="2"/>
          </w:tcPr>
          <w:p>
            <w:pPr>
              <w:ind w:left="440"/>
              <w:spacing w:after="0" w:line="130" w:lineRule="exact"/>
              <w:rPr>
                <w:sz w:val="20"/>
                <w:szCs w:val="20"/>
                <w:color w:val="auto"/>
              </w:rPr>
            </w:pPr>
            <w:r>
              <w:rPr>
                <w:rFonts w:ascii="Arial" w:cs="Arial" w:eastAsia="Arial" w:hAnsi="Arial"/>
                <w:sz w:val="14"/>
                <w:szCs w:val="14"/>
                <w:color w:val="auto"/>
                <w:w w:val="99"/>
              </w:rPr>
              <w:t>$371,000</w:t>
            </w:r>
          </w:p>
        </w:tc>
        <w:tc>
          <w:tcPr>
            <w:tcW w:w="1260" w:type="dxa"/>
            <w:vAlign w:val="bottom"/>
            <w:tcBorders>
              <w:top w:val="single" w:sz="8" w:color="auto"/>
            </w:tcBorders>
            <w:gridSpan w:val="2"/>
          </w:tcPr>
          <w:p>
            <w:pPr>
              <w:jc w:val="right"/>
              <w:ind w:right="28"/>
              <w:spacing w:after="0" w:line="130" w:lineRule="exact"/>
              <w:rPr>
                <w:sz w:val="20"/>
                <w:szCs w:val="20"/>
                <w:color w:val="auto"/>
              </w:rPr>
            </w:pPr>
            <w:r>
              <w:rPr>
                <w:rFonts w:ascii="Arial" w:cs="Arial" w:eastAsia="Arial" w:hAnsi="Arial"/>
                <w:sz w:val="14"/>
                <w:szCs w:val="14"/>
                <w:color w:val="auto"/>
              </w:rPr>
              <w:t>$1,330,000</w:t>
            </w:r>
          </w:p>
        </w:tc>
        <w:tc>
          <w:tcPr>
            <w:tcW w:w="1280" w:type="dxa"/>
            <w:vAlign w:val="bottom"/>
            <w:tcBorders>
              <w:top w:val="single" w:sz="8" w:color="auto"/>
            </w:tcBorders>
            <w:gridSpan w:val="2"/>
          </w:tcPr>
          <w:p>
            <w:pPr>
              <w:jc w:val="right"/>
              <w:ind w:right="28"/>
              <w:spacing w:after="0" w:line="130" w:lineRule="exact"/>
              <w:rPr>
                <w:sz w:val="20"/>
                <w:szCs w:val="20"/>
                <w:color w:val="auto"/>
              </w:rPr>
            </w:pPr>
            <w:r>
              <w:rPr>
                <w:rFonts w:ascii="Arial" w:cs="Arial" w:eastAsia="Arial" w:hAnsi="Arial"/>
                <w:sz w:val="14"/>
                <w:szCs w:val="14"/>
                <w:color w:val="auto"/>
              </w:rPr>
              <w:t>$3,281,400</w:t>
            </w:r>
          </w:p>
        </w:tc>
        <w:tc>
          <w:tcPr>
            <w:tcW w:w="1400" w:type="dxa"/>
            <w:vAlign w:val="bottom"/>
            <w:tcBorders>
              <w:top w:val="single" w:sz="8" w:color="auto"/>
            </w:tcBorders>
            <w:gridSpan w:val="2"/>
          </w:tcPr>
          <w:p>
            <w:pPr>
              <w:jc w:val="right"/>
              <w:ind w:right="28"/>
              <w:spacing w:after="0" w:line="130" w:lineRule="exact"/>
              <w:rPr>
                <w:sz w:val="20"/>
                <w:szCs w:val="20"/>
                <w:color w:val="auto"/>
              </w:rPr>
            </w:pPr>
            <w:r>
              <w:rPr>
                <w:rFonts w:ascii="Arial" w:cs="Arial" w:eastAsia="Arial" w:hAnsi="Arial"/>
                <w:sz w:val="14"/>
                <w:szCs w:val="14"/>
                <w:color w:val="auto"/>
              </w:rPr>
              <w:t>$112,913</w:t>
            </w:r>
          </w:p>
        </w:tc>
        <w:tc>
          <w:tcPr>
            <w:tcW w:w="1640" w:type="dxa"/>
            <w:vAlign w:val="bottom"/>
            <w:tcBorders>
              <w:top w:val="single" w:sz="8" w:color="auto"/>
            </w:tcBorders>
            <w:gridSpan w:val="2"/>
          </w:tcPr>
          <w:p>
            <w:pPr>
              <w:jc w:val="right"/>
              <w:ind w:right="208"/>
              <w:spacing w:after="0" w:line="130" w:lineRule="exact"/>
              <w:rPr>
                <w:sz w:val="20"/>
                <w:szCs w:val="20"/>
                <w:color w:val="auto"/>
              </w:rPr>
            </w:pPr>
            <w:r>
              <w:rPr>
                <w:rFonts w:ascii="Arial" w:cs="Arial" w:eastAsia="Arial" w:hAnsi="Arial"/>
                <w:sz w:val="14"/>
                <w:szCs w:val="14"/>
                <w:color w:val="auto"/>
              </w:rPr>
              <w:t>$37,009</w:t>
            </w:r>
          </w:p>
        </w:tc>
        <w:tc>
          <w:tcPr>
            <w:tcW w:w="13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$5,132,322</w:t>
            </w:r>
          </w:p>
        </w:tc>
      </w:tr>
      <w:tr>
        <w:trPr>
          <w:trHeight w:val="149"/>
        </w:trPr>
        <w:tc>
          <w:tcPr>
            <w:tcW w:w="20" w:type="dxa"/>
            <w:vAlign w:val="bottom"/>
          </w:tcPr>
          <w:p>
            <w:pPr>
              <w:spacing w:after="0"/>
              <w:rPr>
                <w:sz w:val="12"/>
                <w:szCs w:val="12"/>
                <w:color w:val="auto"/>
              </w:rPr>
            </w:pPr>
          </w:p>
        </w:tc>
        <w:tc>
          <w:tcPr>
            <w:tcW w:w="218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Senior Vice President and Chief</w:t>
            </w:r>
          </w:p>
        </w:tc>
        <w:tc>
          <w:tcPr>
            <w:tcW w:w="1180" w:type="dxa"/>
            <w:vAlign w:val="bottom"/>
          </w:tcPr>
          <w:p>
            <w:pPr>
              <w:ind w:left="440"/>
              <w:spacing w:after="0" w:line="149" w:lineRule="exact"/>
              <w:rPr>
                <w:sz w:val="20"/>
                <w:szCs w:val="20"/>
                <w:color w:val="auto"/>
              </w:rPr>
            </w:pPr>
            <w:r>
              <w:rPr>
                <w:rFonts w:ascii="Arial" w:cs="Arial" w:eastAsia="Arial" w:hAnsi="Arial"/>
                <w:sz w:val="14"/>
                <w:szCs w:val="14"/>
                <w:color w:val="auto"/>
              </w:rPr>
              <w:t>2008</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9"/>
              </w:rPr>
              <w:t>$350,000</w:t>
            </w:r>
          </w:p>
        </w:tc>
        <w:tc>
          <w:tcPr>
            <w:tcW w:w="12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$1,330,000</w:t>
            </w:r>
          </w:p>
        </w:tc>
        <w:tc>
          <w:tcPr>
            <w:tcW w:w="1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$3,589,110</w:t>
            </w:r>
          </w:p>
        </w:tc>
        <w:tc>
          <w:tcPr>
            <w:tcW w:w="220" w:type="dxa"/>
            <w:vAlign w:val="bottom"/>
          </w:tcPr>
          <w:p>
            <w:pPr>
              <w:spacing w:after="0"/>
              <w:rPr>
                <w:sz w:val="12"/>
                <w:szCs w:val="12"/>
                <w:color w:val="auto"/>
              </w:rPr>
            </w:pPr>
          </w:p>
        </w:tc>
        <w:tc>
          <w:tcPr>
            <w:tcW w:w="11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$36,460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$5,305,570</w:t>
            </w:r>
          </w:p>
        </w:tc>
      </w:tr>
      <w:tr>
        <w:trPr>
          <w:trHeight w:val="182"/>
        </w:trPr>
        <w:tc>
          <w:tcPr>
            <w:tcW w:w="20" w:type="dxa"/>
            <w:vAlign w:val="bottom"/>
          </w:tcPr>
          <w:p>
            <w:pPr>
              <w:spacing w:after="0"/>
              <w:rPr>
                <w:sz w:val="15"/>
                <w:szCs w:val="15"/>
                <w:color w:val="auto"/>
              </w:rPr>
            </w:pPr>
          </w:p>
        </w:tc>
        <w:tc>
          <w:tcPr>
            <w:tcW w:w="2180" w:type="dxa"/>
            <w:vAlign w:val="bottom"/>
            <w:gridSpan w:val="2"/>
          </w:tcPr>
          <w:p>
            <w:pPr>
              <w:ind w:left="160"/>
              <w:spacing w:after="0"/>
              <w:rPr>
                <w:sz w:val="20"/>
                <w:szCs w:val="20"/>
                <w:color w:val="auto"/>
              </w:rPr>
            </w:pPr>
            <w:r>
              <w:rPr>
                <w:rFonts w:ascii="Arial" w:cs="Arial" w:eastAsia="Arial" w:hAnsi="Arial"/>
                <w:sz w:val="14"/>
                <w:szCs w:val="14"/>
                <w:i w:val="1"/>
                <w:iCs w:val="1"/>
                <w:color w:val="auto"/>
              </w:rPr>
              <w:t>Financial Officer</w:t>
            </w:r>
          </w:p>
        </w:tc>
        <w:tc>
          <w:tcPr>
            <w:tcW w:w="1180" w:type="dxa"/>
            <w:vAlign w:val="bottom"/>
          </w:tcPr>
          <w:p>
            <w:pPr>
              <w:ind w:left="440"/>
              <w:spacing w:after="0"/>
              <w:rPr>
                <w:sz w:val="20"/>
                <w:szCs w:val="20"/>
                <w:color w:val="auto"/>
              </w:rPr>
            </w:pPr>
            <w:r>
              <w:rPr>
                <w:rFonts w:ascii="Arial" w:cs="Arial" w:eastAsia="Arial" w:hAnsi="Arial"/>
                <w:sz w:val="14"/>
                <w:szCs w:val="14"/>
                <w:color w:val="auto"/>
              </w:rPr>
              <w:t>2007</w:t>
            </w: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w w:val="99"/>
              </w:rPr>
              <w:t>$316,000</w:t>
            </w: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auto"/>
              </w:rPr>
              <w:t>$950,000</w:t>
            </w:r>
          </w:p>
        </w:tc>
        <w:tc>
          <w:tcPr>
            <w:tcW w:w="1280" w:type="dxa"/>
            <w:vAlign w:val="bottom"/>
            <w:gridSpan w:val="2"/>
          </w:tcPr>
          <w:p>
            <w:pPr>
              <w:jc w:val="right"/>
              <w:ind w:right="28"/>
              <w:spacing w:after="0"/>
              <w:rPr>
                <w:sz w:val="20"/>
                <w:szCs w:val="20"/>
                <w:color w:val="auto"/>
              </w:rPr>
            </w:pPr>
            <w:r>
              <w:rPr>
                <w:rFonts w:ascii="Arial" w:cs="Arial" w:eastAsia="Arial" w:hAnsi="Arial"/>
                <w:sz w:val="14"/>
                <w:szCs w:val="14"/>
                <w:color w:val="auto"/>
              </w:rPr>
              <w:t>$2,778,300</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$14,573</w:t>
            </w:r>
          </w:p>
        </w:tc>
        <w:tc>
          <w:tcPr>
            <w:tcW w:w="1640" w:type="dxa"/>
            <w:vAlign w:val="bottom"/>
            <w:gridSpan w:val="2"/>
          </w:tcPr>
          <w:p>
            <w:pPr>
              <w:jc w:val="right"/>
              <w:ind w:right="208"/>
              <w:spacing w:after="0"/>
              <w:rPr>
                <w:sz w:val="20"/>
                <w:szCs w:val="20"/>
                <w:color w:val="auto"/>
              </w:rPr>
            </w:pPr>
            <w:r>
              <w:rPr>
                <w:rFonts w:ascii="Arial" w:cs="Arial" w:eastAsia="Arial" w:hAnsi="Arial"/>
                <w:sz w:val="14"/>
                <w:szCs w:val="14"/>
                <w:color w:val="auto"/>
              </w:rPr>
              <w:t>$36,227</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$4,095,100</w:t>
            </w:r>
          </w:p>
        </w:tc>
      </w:tr>
      <w:tr>
        <w:trPr>
          <w:trHeight w:val="208"/>
        </w:trPr>
        <w:tc>
          <w:tcPr>
            <w:tcW w:w="2200" w:type="dxa"/>
            <w:vAlign w:val="bottom"/>
            <w:gridSpan w:val="3"/>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130"/>
        </w:trPr>
        <w:tc>
          <w:tcPr>
            <w:tcW w:w="20" w:type="dxa"/>
            <w:vAlign w:val="bottom"/>
          </w:tcPr>
          <w:p>
            <w:pPr>
              <w:spacing w:after="0"/>
              <w:rPr>
                <w:sz w:val="11"/>
                <w:szCs w:val="11"/>
                <w:color w:val="auto"/>
              </w:rPr>
            </w:pPr>
          </w:p>
        </w:tc>
        <w:tc>
          <w:tcPr>
            <w:tcW w:w="218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color w:val="auto"/>
              </w:rPr>
              <w:t>Mack D. Good</w:t>
            </w:r>
          </w:p>
        </w:tc>
        <w:tc>
          <w:tcPr>
            <w:tcW w:w="1180" w:type="dxa"/>
            <w:vAlign w:val="bottom"/>
            <w:tcBorders>
              <w:top w:val="single" w:sz="8" w:color="auto"/>
            </w:tcBorders>
          </w:tcPr>
          <w:p>
            <w:pPr>
              <w:ind w:left="440"/>
              <w:spacing w:after="0" w:line="130" w:lineRule="exact"/>
              <w:rPr>
                <w:sz w:val="20"/>
                <w:szCs w:val="20"/>
                <w:color w:val="auto"/>
              </w:rPr>
            </w:pPr>
            <w:r>
              <w:rPr>
                <w:rFonts w:ascii="Arial" w:cs="Arial" w:eastAsia="Arial" w:hAnsi="Arial"/>
                <w:sz w:val="14"/>
                <w:szCs w:val="14"/>
                <w:color w:val="auto"/>
              </w:rPr>
              <w:t>2009</w:t>
            </w:r>
          </w:p>
        </w:tc>
        <w:tc>
          <w:tcPr>
            <w:tcW w:w="1040" w:type="dxa"/>
            <w:vAlign w:val="bottom"/>
            <w:tcBorders>
              <w:top w:val="single" w:sz="8" w:color="auto"/>
            </w:tcBorders>
            <w:gridSpan w:val="2"/>
          </w:tcPr>
          <w:p>
            <w:pPr>
              <w:ind w:left="440"/>
              <w:spacing w:after="0" w:line="130" w:lineRule="exact"/>
              <w:rPr>
                <w:sz w:val="20"/>
                <w:szCs w:val="20"/>
                <w:color w:val="auto"/>
              </w:rPr>
            </w:pPr>
            <w:r>
              <w:rPr>
                <w:rFonts w:ascii="Arial" w:cs="Arial" w:eastAsia="Arial" w:hAnsi="Arial"/>
                <w:sz w:val="14"/>
                <w:szCs w:val="14"/>
                <w:color w:val="auto"/>
                <w:w w:val="99"/>
              </w:rPr>
              <w:t>$320,000</w:t>
            </w:r>
          </w:p>
        </w:tc>
        <w:tc>
          <w:tcPr>
            <w:tcW w:w="1260" w:type="dxa"/>
            <w:vAlign w:val="bottom"/>
            <w:tcBorders>
              <w:top w:val="single" w:sz="8" w:color="auto"/>
            </w:tcBorders>
            <w:gridSpan w:val="2"/>
          </w:tcPr>
          <w:p>
            <w:pPr>
              <w:jc w:val="right"/>
              <w:ind w:right="28"/>
              <w:spacing w:after="0" w:line="130" w:lineRule="exact"/>
              <w:rPr>
                <w:sz w:val="20"/>
                <w:szCs w:val="20"/>
                <w:color w:val="auto"/>
              </w:rPr>
            </w:pPr>
            <w:r>
              <w:rPr>
                <w:rFonts w:ascii="Arial" w:cs="Arial" w:eastAsia="Arial" w:hAnsi="Arial"/>
                <w:sz w:val="14"/>
                <w:szCs w:val="14"/>
                <w:color w:val="auto"/>
              </w:rPr>
              <w:t>$715,000</w:t>
            </w:r>
          </w:p>
        </w:tc>
        <w:tc>
          <w:tcPr>
            <w:tcW w:w="1280" w:type="dxa"/>
            <w:vAlign w:val="bottom"/>
            <w:tcBorders>
              <w:top w:val="single" w:sz="8" w:color="auto"/>
            </w:tcBorders>
            <w:gridSpan w:val="2"/>
          </w:tcPr>
          <w:p>
            <w:pPr>
              <w:jc w:val="right"/>
              <w:ind w:right="28"/>
              <w:spacing w:after="0" w:line="130" w:lineRule="exact"/>
              <w:rPr>
                <w:sz w:val="20"/>
                <w:szCs w:val="20"/>
                <w:color w:val="auto"/>
              </w:rPr>
            </w:pPr>
            <w:r>
              <w:rPr>
                <w:rFonts w:ascii="Arial" w:cs="Arial" w:eastAsia="Arial" w:hAnsi="Arial"/>
                <w:sz w:val="14"/>
                <w:szCs w:val="14"/>
                <w:color w:val="auto"/>
              </w:rPr>
              <w:t>$1,203,180</w:t>
            </w:r>
          </w:p>
        </w:tc>
        <w:tc>
          <w:tcPr>
            <w:tcW w:w="1400" w:type="dxa"/>
            <w:vAlign w:val="bottom"/>
            <w:tcBorders>
              <w:top w:val="single" w:sz="8" w:color="auto"/>
            </w:tcBorders>
            <w:gridSpan w:val="2"/>
          </w:tcPr>
          <w:p>
            <w:pPr>
              <w:jc w:val="right"/>
              <w:ind w:right="28"/>
              <w:spacing w:after="0" w:line="130" w:lineRule="exact"/>
              <w:rPr>
                <w:sz w:val="20"/>
                <w:szCs w:val="20"/>
                <w:color w:val="auto"/>
              </w:rPr>
            </w:pPr>
            <w:r>
              <w:rPr>
                <w:rFonts w:ascii="Arial" w:cs="Arial" w:eastAsia="Arial" w:hAnsi="Arial"/>
                <w:sz w:val="14"/>
                <w:szCs w:val="14"/>
                <w:color w:val="auto"/>
              </w:rPr>
              <w:t>$25,300</w:t>
            </w:r>
          </w:p>
        </w:tc>
        <w:tc>
          <w:tcPr>
            <w:tcW w:w="1640" w:type="dxa"/>
            <w:vAlign w:val="bottom"/>
            <w:tcBorders>
              <w:top w:val="single" w:sz="8" w:color="auto"/>
            </w:tcBorders>
            <w:gridSpan w:val="2"/>
          </w:tcPr>
          <w:p>
            <w:pPr>
              <w:jc w:val="right"/>
              <w:ind w:right="208"/>
              <w:spacing w:after="0" w:line="130" w:lineRule="exact"/>
              <w:rPr>
                <w:sz w:val="20"/>
                <w:szCs w:val="20"/>
                <w:color w:val="auto"/>
              </w:rPr>
            </w:pPr>
            <w:r>
              <w:rPr>
                <w:rFonts w:ascii="Arial" w:cs="Arial" w:eastAsia="Arial" w:hAnsi="Arial"/>
                <w:sz w:val="14"/>
                <w:szCs w:val="14"/>
                <w:color w:val="auto"/>
              </w:rPr>
              <w:t>$8,164</w:t>
            </w:r>
          </w:p>
        </w:tc>
        <w:tc>
          <w:tcPr>
            <w:tcW w:w="13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$2,271,644</w:t>
            </w:r>
          </w:p>
        </w:tc>
      </w:tr>
      <w:tr>
        <w:trPr>
          <w:trHeight w:val="149"/>
        </w:trPr>
        <w:tc>
          <w:tcPr>
            <w:tcW w:w="20" w:type="dxa"/>
            <w:vAlign w:val="bottom"/>
          </w:tcPr>
          <w:p>
            <w:pPr>
              <w:spacing w:after="0"/>
              <w:rPr>
                <w:sz w:val="12"/>
                <w:szCs w:val="12"/>
                <w:color w:val="auto"/>
              </w:rPr>
            </w:pPr>
          </w:p>
        </w:tc>
        <w:tc>
          <w:tcPr>
            <w:tcW w:w="218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Chief Operating Officer</w:t>
            </w:r>
          </w:p>
        </w:tc>
        <w:tc>
          <w:tcPr>
            <w:tcW w:w="1180" w:type="dxa"/>
            <w:vAlign w:val="bottom"/>
          </w:tcPr>
          <w:p>
            <w:pPr>
              <w:ind w:left="440"/>
              <w:spacing w:after="0" w:line="149" w:lineRule="exact"/>
              <w:rPr>
                <w:sz w:val="20"/>
                <w:szCs w:val="20"/>
                <w:color w:val="auto"/>
              </w:rPr>
            </w:pPr>
            <w:r>
              <w:rPr>
                <w:rFonts w:ascii="Arial" w:cs="Arial" w:eastAsia="Arial" w:hAnsi="Arial"/>
                <w:sz w:val="14"/>
                <w:szCs w:val="14"/>
                <w:color w:val="auto"/>
              </w:rPr>
              <w:t>2008</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9"/>
              </w:rPr>
              <w:t>$300,000</w:t>
            </w:r>
          </w:p>
        </w:tc>
        <w:tc>
          <w:tcPr>
            <w:tcW w:w="12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$715,000</w:t>
            </w:r>
          </w:p>
        </w:tc>
        <w:tc>
          <w:tcPr>
            <w:tcW w:w="1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$1,329,300</w:t>
            </w:r>
          </w:p>
        </w:tc>
        <w:tc>
          <w:tcPr>
            <w:tcW w:w="220" w:type="dxa"/>
            <w:vAlign w:val="bottom"/>
          </w:tcPr>
          <w:p>
            <w:pPr>
              <w:spacing w:after="0"/>
              <w:rPr>
                <w:sz w:val="12"/>
                <w:szCs w:val="12"/>
                <w:color w:val="auto"/>
              </w:rPr>
            </w:pPr>
          </w:p>
        </w:tc>
        <w:tc>
          <w:tcPr>
            <w:tcW w:w="11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$7,648</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$2,351,948</w:t>
            </w:r>
          </w:p>
        </w:tc>
      </w:tr>
      <w:tr>
        <w:trPr>
          <w:trHeight w:val="182"/>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ind w:left="440"/>
              <w:spacing w:after="0"/>
              <w:rPr>
                <w:sz w:val="20"/>
                <w:szCs w:val="20"/>
                <w:color w:val="auto"/>
              </w:rPr>
            </w:pPr>
            <w:r>
              <w:rPr>
                <w:rFonts w:ascii="Arial" w:cs="Arial" w:eastAsia="Arial" w:hAnsi="Arial"/>
                <w:sz w:val="14"/>
                <w:szCs w:val="14"/>
                <w:color w:val="auto"/>
              </w:rPr>
              <w:t>2007</w:t>
            </w: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w w:val="99"/>
              </w:rPr>
              <w:t>$240,000</w:t>
            </w: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auto"/>
              </w:rPr>
              <w:t>$550,000</w:t>
            </w:r>
          </w:p>
        </w:tc>
        <w:tc>
          <w:tcPr>
            <w:tcW w:w="1280" w:type="dxa"/>
            <w:vAlign w:val="bottom"/>
            <w:gridSpan w:val="2"/>
          </w:tcPr>
          <w:p>
            <w:pPr>
              <w:jc w:val="right"/>
              <w:ind w:right="28"/>
              <w:spacing w:after="0"/>
              <w:rPr>
                <w:sz w:val="20"/>
                <w:szCs w:val="20"/>
                <w:color w:val="auto"/>
              </w:rPr>
            </w:pPr>
            <w:r>
              <w:rPr>
                <w:rFonts w:ascii="Arial" w:cs="Arial" w:eastAsia="Arial" w:hAnsi="Arial"/>
                <w:sz w:val="14"/>
                <w:szCs w:val="14"/>
                <w:color w:val="auto"/>
              </w:rPr>
              <w:t>$1,029,000</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$1,553</w:t>
            </w:r>
          </w:p>
        </w:tc>
        <w:tc>
          <w:tcPr>
            <w:tcW w:w="1640" w:type="dxa"/>
            <w:vAlign w:val="bottom"/>
            <w:gridSpan w:val="2"/>
          </w:tcPr>
          <w:p>
            <w:pPr>
              <w:jc w:val="right"/>
              <w:ind w:right="208"/>
              <w:spacing w:after="0"/>
              <w:rPr>
                <w:sz w:val="20"/>
                <w:szCs w:val="20"/>
                <w:color w:val="auto"/>
              </w:rPr>
            </w:pPr>
            <w:r>
              <w:rPr>
                <w:rFonts w:ascii="Arial" w:cs="Arial" w:eastAsia="Arial" w:hAnsi="Arial"/>
                <w:sz w:val="14"/>
                <w:szCs w:val="14"/>
                <w:color w:val="auto"/>
              </w:rPr>
              <w:t>$7,438</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$1,827,991</w:t>
            </w:r>
          </w:p>
        </w:tc>
      </w:tr>
      <w:tr>
        <w:trPr>
          <w:trHeight w:val="208"/>
        </w:trPr>
        <w:tc>
          <w:tcPr>
            <w:tcW w:w="2200" w:type="dxa"/>
            <w:vAlign w:val="bottom"/>
            <w:gridSpan w:val="3"/>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130"/>
        </w:trPr>
        <w:tc>
          <w:tcPr>
            <w:tcW w:w="20" w:type="dxa"/>
            <w:vAlign w:val="bottom"/>
          </w:tcPr>
          <w:p>
            <w:pPr>
              <w:spacing w:after="0"/>
              <w:rPr>
                <w:sz w:val="11"/>
                <w:szCs w:val="11"/>
                <w:color w:val="auto"/>
              </w:rPr>
            </w:pPr>
          </w:p>
        </w:tc>
        <w:tc>
          <w:tcPr>
            <w:tcW w:w="218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color w:val="auto"/>
              </w:rPr>
              <w:t>D. Dale Gillette</w:t>
            </w:r>
          </w:p>
        </w:tc>
        <w:tc>
          <w:tcPr>
            <w:tcW w:w="1180" w:type="dxa"/>
            <w:vAlign w:val="bottom"/>
            <w:tcBorders>
              <w:top w:val="single" w:sz="8" w:color="auto"/>
            </w:tcBorders>
          </w:tcPr>
          <w:p>
            <w:pPr>
              <w:ind w:left="440"/>
              <w:spacing w:after="0" w:line="130" w:lineRule="exact"/>
              <w:rPr>
                <w:sz w:val="20"/>
                <w:szCs w:val="20"/>
                <w:color w:val="auto"/>
              </w:rPr>
            </w:pPr>
            <w:r>
              <w:rPr>
                <w:rFonts w:ascii="Arial" w:cs="Arial" w:eastAsia="Arial" w:hAnsi="Arial"/>
                <w:sz w:val="14"/>
                <w:szCs w:val="14"/>
                <w:color w:val="auto"/>
              </w:rPr>
              <w:t>2009</w:t>
            </w:r>
          </w:p>
        </w:tc>
        <w:tc>
          <w:tcPr>
            <w:tcW w:w="1040" w:type="dxa"/>
            <w:vAlign w:val="bottom"/>
            <w:tcBorders>
              <w:top w:val="single" w:sz="8" w:color="auto"/>
            </w:tcBorders>
            <w:gridSpan w:val="2"/>
          </w:tcPr>
          <w:p>
            <w:pPr>
              <w:ind w:left="440"/>
              <w:spacing w:after="0" w:line="130" w:lineRule="exact"/>
              <w:rPr>
                <w:sz w:val="20"/>
                <w:szCs w:val="20"/>
                <w:color w:val="auto"/>
              </w:rPr>
            </w:pPr>
            <w:r>
              <w:rPr>
                <w:rFonts w:ascii="Arial" w:cs="Arial" w:eastAsia="Arial" w:hAnsi="Arial"/>
                <w:sz w:val="14"/>
                <w:szCs w:val="14"/>
                <w:color w:val="auto"/>
                <w:w w:val="99"/>
              </w:rPr>
              <w:t>$290,000</w:t>
            </w:r>
          </w:p>
        </w:tc>
        <w:tc>
          <w:tcPr>
            <w:tcW w:w="1260" w:type="dxa"/>
            <w:vAlign w:val="bottom"/>
            <w:tcBorders>
              <w:top w:val="single" w:sz="8" w:color="auto"/>
            </w:tcBorders>
            <w:gridSpan w:val="2"/>
          </w:tcPr>
          <w:p>
            <w:pPr>
              <w:jc w:val="right"/>
              <w:ind w:right="28"/>
              <w:spacing w:after="0" w:line="130" w:lineRule="exact"/>
              <w:rPr>
                <w:sz w:val="20"/>
                <w:szCs w:val="20"/>
                <w:color w:val="auto"/>
              </w:rPr>
            </w:pPr>
            <w:r>
              <w:rPr>
                <w:rFonts w:ascii="Arial" w:cs="Arial" w:eastAsia="Arial" w:hAnsi="Arial"/>
                <w:sz w:val="14"/>
                <w:szCs w:val="14"/>
                <w:color w:val="auto"/>
              </w:rPr>
              <w:t>$300,000</w:t>
            </w:r>
          </w:p>
        </w:tc>
        <w:tc>
          <w:tcPr>
            <w:tcW w:w="1280" w:type="dxa"/>
            <w:vAlign w:val="bottom"/>
            <w:tcBorders>
              <w:top w:val="single" w:sz="8" w:color="auto"/>
            </w:tcBorders>
            <w:gridSpan w:val="2"/>
          </w:tcPr>
          <w:p>
            <w:pPr>
              <w:jc w:val="right"/>
              <w:ind w:right="28"/>
              <w:spacing w:after="0" w:line="130" w:lineRule="exact"/>
              <w:rPr>
                <w:sz w:val="20"/>
                <w:szCs w:val="20"/>
                <w:color w:val="auto"/>
              </w:rPr>
            </w:pPr>
            <w:r>
              <w:rPr>
                <w:rFonts w:ascii="Arial" w:cs="Arial" w:eastAsia="Arial" w:hAnsi="Arial"/>
                <w:sz w:val="14"/>
                <w:szCs w:val="14"/>
                <w:color w:val="auto"/>
              </w:rPr>
              <w:t>$401,060</w:t>
            </w:r>
          </w:p>
        </w:tc>
        <w:tc>
          <w:tcPr>
            <w:tcW w:w="1400" w:type="dxa"/>
            <w:vAlign w:val="bottom"/>
            <w:tcBorders>
              <w:top w:val="single" w:sz="8" w:color="auto"/>
            </w:tcBorders>
            <w:gridSpan w:val="2"/>
          </w:tcPr>
          <w:p>
            <w:pPr>
              <w:jc w:val="right"/>
              <w:ind w:right="28"/>
              <w:spacing w:after="0" w:line="130" w:lineRule="exact"/>
              <w:rPr>
                <w:sz w:val="20"/>
                <w:szCs w:val="20"/>
                <w:color w:val="auto"/>
              </w:rPr>
            </w:pPr>
            <w:r>
              <w:rPr>
                <w:rFonts w:ascii="Arial" w:cs="Arial" w:eastAsia="Arial" w:hAnsi="Arial"/>
                <w:sz w:val="14"/>
                <w:szCs w:val="14"/>
                <w:color w:val="auto"/>
              </w:rPr>
              <w:t>$14,594</w:t>
            </w:r>
          </w:p>
        </w:tc>
        <w:tc>
          <w:tcPr>
            <w:tcW w:w="1640" w:type="dxa"/>
            <w:vAlign w:val="bottom"/>
            <w:tcBorders>
              <w:top w:val="single" w:sz="8" w:color="auto"/>
            </w:tcBorders>
            <w:gridSpan w:val="2"/>
          </w:tcPr>
          <w:p>
            <w:pPr>
              <w:jc w:val="right"/>
              <w:ind w:right="208"/>
              <w:spacing w:after="0" w:line="130" w:lineRule="exact"/>
              <w:rPr>
                <w:sz w:val="20"/>
                <w:szCs w:val="20"/>
                <w:color w:val="auto"/>
              </w:rPr>
            </w:pPr>
            <w:r>
              <w:rPr>
                <w:rFonts w:ascii="Arial" w:cs="Arial" w:eastAsia="Arial" w:hAnsi="Arial"/>
                <w:sz w:val="14"/>
                <w:szCs w:val="14"/>
                <w:color w:val="auto"/>
              </w:rPr>
              <w:t>$7,840</w:t>
            </w:r>
          </w:p>
        </w:tc>
        <w:tc>
          <w:tcPr>
            <w:tcW w:w="13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$1,013,494</w:t>
            </w:r>
          </w:p>
        </w:tc>
      </w:tr>
      <w:tr>
        <w:trPr>
          <w:trHeight w:val="149"/>
        </w:trPr>
        <w:tc>
          <w:tcPr>
            <w:tcW w:w="20" w:type="dxa"/>
            <w:vAlign w:val="bottom"/>
          </w:tcPr>
          <w:p>
            <w:pPr>
              <w:spacing w:after="0"/>
              <w:rPr>
                <w:sz w:val="12"/>
                <w:szCs w:val="12"/>
                <w:color w:val="auto"/>
              </w:rPr>
            </w:pPr>
          </w:p>
        </w:tc>
        <w:tc>
          <w:tcPr>
            <w:tcW w:w="218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Vice President of Land and</w:t>
            </w:r>
          </w:p>
        </w:tc>
        <w:tc>
          <w:tcPr>
            <w:tcW w:w="1180" w:type="dxa"/>
            <w:vAlign w:val="bottom"/>
          </w:tcPr>
          <w:p>
            <w:pPr>
              <w:ind w:left="440"/>
              <w:spacing w:after="0" w:line="149" w:lineRule="exact"/>
              <w:rPr>
                <w:sz w:val="20"/>
                <w:szCs w:val="20"/>
                <w:color w:val="auto"/>
              </w:rPr>
            </w:pPr>
            <w:r>
              <w:rPr>
                <w:rFonts w:ascii="Arial" w:cs="Arial" w:eastAsia="Arial" w:hAnsi="Arial"/>
                <w:sz w:val="14"/>
                <w:szCs w:val="14"/>
                <w:color w:val="auto"/>
              </w:rPr>
              <w:t>2008</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9"/>
              </w:rPr>
              <w:t>$275,000</w:t>
            </w:r>
          </w:p>
        </w:tc>
        <w:tc>
          <w:tcPr>
            <w:tcW w:w="12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$300,000</w:t>
            </w:r>
          </w:p>
        </w:tc>
        <w:tc>
          <w:tcPr>
            <w:tcW w:w="1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$443,100</w:t>
            </w:r>
          </w:p>
        </w:tc>
        <w:tc>
          <w:tcPr>
            <w:tcW w:w="220" w:type="dxa"/>
            <w:vAlign w:val="bottom"/>
          </w:tcPr>
          <w:p>
            <w:pPr>
              <w:spacing w:after="0"/>
              <w:rPr>
                <w:sz w:val="12"/>
                <w:szCs w:val="12"/>
                <w:color w:val="auto"/>
              </w:rPr>
            </w:pPr>
          </w:p>
        </w:tc>
        <w:tc>
          <w:tcPr>
            <w:tcW w:w="11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$7,350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$1,025,450</w:t>
            </w:r>
          </w:p>
        </w:tc>
      </w:tr>
      <w:tr>
        <w:trPr>
          <w:trHeight w:val="182"/>
        </w:trPr>
        <w:tc>
          <w:tcPr>
            <w:tcW w:w="20" w:type="dxa"/>
            <w:vAlign w:val="bottom"/>
          </w:tcPr>
          <w:p>
            <w:pPr>
              <w:spacing w:after="0"/>
              <w:rPr>
                <w:sz w:val="15"/>
                <w:szCs w:val="15"/>
                <w:color w:val="auto"/>
              </w:rPr>
            </w:pPr>
          </w:p>
        </w:tc>
        <w:tc>
          <w:tcPr>
            <w:tcW w:w="2180" w:type="dxa"/>
            <w:vAlign w:val="bottom"/>
            <w:gridSpan w:val="2"/>
          </w:tcPr>
          <w:p>
            <w:pPr>
              <w:ind w:left="160"/>
              <w:spacing w:after="0"/>
              <w:rPr>
                <w:sz w:val="20"/>
                <w:szCs w:val="20"/>
                <w:color w:val="auto"/>
              </w:rPr>
            </w:pPr>
            <w:r>
              <w:rPr>
                <w:rFonts w:ascii="Arial" w:cs="Arial" w:eastAsia="Arial" w:hAnsi="Arial"/>
                <w:sz w:val="14"/>
                <w:szCs w:val="14"/>
                <w:i w:val="1"/>
                <w:iCs w:val="1"/>
                <w:color w:val="auto"/>
              </w:rPr>
              <w:t>General Counsel</w:t>
            </w:r>
          </w:p>
        </w:tc>
        <w:tc>
          <w:tcPr>
            <w:tcW w:w="1180" w:type="dxa"/>
            <w:vAlign w:val="bottom"/>
          </w:tcPr>
          <w:p>
            <w:pPr>
              <w:ind w:left="440"/>
              <w:spacing w:after="0"/>
              <w:rPr>
                <w:sz w:val="20"/>
                <w:szCs w:val="20"/>
                <w:color w:val="auto"/>
              </w:rPr>
            </w:pPr>
            <w:r>
              <w:rPr>
                <w:rFonts w:ascii="Arial" w:cs="Arial" w:eastAsia="Arial" w:hAnsi="Arial"/>
                <w:sz w:val="14"/>
                <w:szCs w:val="14"/>
                <w:color w:val="auto"/>
              </w:rPr>
              <w:t>2007</w:t>
            </w: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w w:val="99"/>
              </w:rPr>
              <w:t>$220,000</w:t>
            </w: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auto"/>
              </w:rPr>
              <w:t>$230,000</w:t>
            </w:r>
          </w:p>
        </w:tc>
        <w:tc>
          <w:tcPr>
            <w:tcW w:w="1280" w:type="dxa"/>
            <w:vAlign w:val="bottom"/>
            <w:gridSpan w:val="2"/>
          </w:tcPr>
          <w:p>
            <w:pPr>
              <w:jc w:val="right"/>
              <w:ind w:right="28"/>
              <w:spacing w:after="0"/>
              <w:rPr>
                <w:sz w:val="20"/>
                <w:szCs w:val="20"/>
                <w:color w:val="auto"/>
              </w:rPr>
            </w:pPr>
            <w:r>
              <w:rPr>
                <w:rFonts w:ascii="Arial" w:cs="Arial" w:eastAsia="Arial" w:hAnsi="Arial"/>
                <w:sz w:val="14"/>
                <w:szCs w:val="14"/>
                <w:color w:val="auto"/>
              </w:rPr>
              <w:t>$343,000</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$705</w:t>
            </w:r>
          </w:p>
        </w:tc>
        <w:tc>
          <w:tcPr>
            <w:tcW w:w="1640" w:type="dxa"/>
            <w:vAlign w:val="bottom"/>
            <w:gridSpan w:val="2"/>
          </w:tcPr>
          <w:p>
            <w:pPr>
              <w:jc w:val="right"/>
              <w:ind w:right="208"/>
              <w:spacing w:after="0"/>
              <w:rPr>
                <w:sz w:val="20"/>
                <w:szCs w:val="20"/>
                <w:color w:val="auto"/>
              </w:rPr>
            </w:pPr>
            <w:r>
              <w:rPr>
                <w:rFonts w:ascii="Arial" w:cs="Arial" w:eastAsia="Arial" w:hAnsi="Arial"/>
                <w:sz w:val="14"/>
                <w:szCs w:val="14"/>
                <w:color w:val="auto"/>
              </w:rPr>
              <w:t>$7,156</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$800,861</w:t>
            </w:r>
          </w:p>
        </w:tc>
      </w:tr>
      <w:tr>
        <w:trPr>
          <w:trHeight w:val="208"/>
        </w:trPr>
        <w:tc>
          <w:tcPr>
            <w:tcW w:w="2200" w:type="dxa"/>
            <w:vAlign w:val="bottom"/>
            <w:gridSpan w:val="3"/>
          </w:tcPr>
          <w:p>
            <w:pPr>
              <w:spacing w:after="0"/>
              <w:rPr>
                <w:sz w:val="18"/>
                <w:szCs w:val="18"/>
                <w:color w:val="auto"/>
              </w:rPr>
            </w:pPr>
          </w:p>
        </w:tc>
        <w:tc>
          <w:tcPr>
            <w:tcW w:w="1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130"/>
        </w:trPr>
        <w:tc>
          <w:tcPr>
            <w:tcW w:w="20" w:type="dxa"/>
            <w:vAlign w:val="bottom"/>
          </w:tcPr>
          <w:p>
            <w:pPr>
              <w:spacing w:after="0"/>
              <w:rPr>
                <w:sz w:val="11"/>
                <w:szCs w:val="11"/>
                <w:color w:val="auto"/>
              </w:rPr>
            </w:pPr>
          </w:p>
        </w:tc>
        <w:tc>
          <w:tcPr>
            <w:tcW w:w="218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color w:val="auto"/>
              </w:rPr>
              <w:t>Stephen P. Neukom</w:t>
            </w:r>
          </w:p>
        </w:tc>
        <w:tc>
          <w:tcPr>
            <w:tcW w:w="1180" w:type="dxa"/>
            <w:vAlign w:val="bottom"/>
            <w:tcBorders>
              <w:top w:val="single" w:sz="8" w:color="auto"/>
            </w:tcBorders>
          </w:tcPr>
          <w:p>
            <w:pPr>
              <w:ind w:left="440"/>
              <w:spacing w:after="0" w:line="130" w:lineRule="exact"/>
              <w:rPr>
                <w:sz w:val="20"/>
                <w:szCs w:val="20"/>
                <w:color w:val="auto"/>
              </w:rPr>
            </w:pPr>
            <w:r>
              <w:rPr>
                <w:rFonts w:ascii="Arial" w:cs="Arial" w:eastAsia="Arial" w:hAnsi="Arial"/>
                <w:sz w:val="14"/>
                <w:szCs w:val="14"/>
                <w:color w:val="auto"/>
              </w:rPr>
              <w:t>2009</w:t>
            </w:r>
          </w:p>
        </w:tc>
        <w:tc>
          <w:tcPr>
            <w:tcW w:w="1040" w:type="dxa"/>
            <w:vAlign w:val="bottom"/>
            <w:tcBorders>
              <w:top w:val="single" w:sz="8" w:color="auto"/>
            </w:tcBorders>
            <w:gridSpan w:val="2"/>
          </w:tcPr>
          <w:p>
            <w:pPr>
              <w:ind w:left="440"/>
              <w:spacing w:after="0" w:line="130" w:lineRule="exact"/>
              <w:rPr>
                <w:sz w:val="20"/>
                <w:szCs w:val="20"/>
                <w:color w:val="auto"/>
              </w:rPr>
            </w:pPr>
            <w:r>
              <w:rPr>
                <w:rFonts w:ascii="Arial" w:cs="Arial" w:eastAsia="Arial" w:hAnsi="Arial"/>
                <w:sz w:val="14"/>
                <w:szCs w:val="14"/>
                <w:color w:val="auto"/>
                <w:w w:val="99"/>
              </w:rPr>
              <w:t>$212,000</w:t>
            </w:r>
          </w:p>
        </w:tc>
        <w:tc>
          <w:tcPr>
            <w:tcW w:w="1260" w:type="dxa"/>
            <w:vAlign w:val="bottom"/>
            <w:tcBorders>
              <w:top w:val="single" w:sz="8" w:color="auto"/>
            </w:tcBorders>
            <w:gridSpan w:val="2"/>
          </w:tcPr>
          <w:p>
            <w:pPr>
              <w:jc w:val="right"/>
              <w:ind w:right="28"/>
              <w:spacing w:after="0" w:line="130" w:lineRule="exact"/>
              <w:rPr>
                <w:sz w:val="20"/>
                <w:szCs w:val="20"/>
                <w:color w:val="auto"/>
              </w:rPr>
            </w:pPr>
            <w:r>
              <w:rPr>
                <w:rFonts w:ascii="Arial" w:cs="Arial" w:eastAsia="Arial" w:hAnsi="Arial"/>
                <w:sz w:val="14"/>
                <w:szCs w:val="14"/>
                <w:color w:val="auto"/>
              </w:rPr>
              <w:t>$275,000</w:t>
            </w:r>
          </w:p>
        </w:tc>
        <w:tc>
          <w:tcPr>
            <w:tcW w:w="1280" w:type="dxa"/>
            <w:vAlign w:val="bottom"/>
            <w:tcBorders>
              <w:top w:val="single" w:sz="8" w:color="auto"/>
            </w:tcBorders>
            <w:gridSpan w:val="2"/>
          </w:tcPr>
          <w:p>
            <w:pPr>
              <w:jc w:val="right"/>
              <w:ind w:right="28"/>
              <w:spacing w:after="0" w:line="130" w:lineRule="exact"/>
              <w:rPr>
                <w:sz w:val="20"/>
                <w:szCs w:val="20"/>
                <w:color w:val="auto"/>
              </w:rPr>
            </w:pPr>
            <w:r>
              <w:rPr>
                <w:rFonts w:ascii="Arial" w:cs="Arial" w:eastAsia="Arial" w:hAnsi="Arial"/>
                <w:sz w:val="14"/>
                <w:szCs w:val="14"/>
                <w:color w:val="auto"/>
              </w:rPr>
              <w:t>$364,600</w:t>
            </w:r>
          </w:p>
        </w:tc>
        <w:tc>
          <w:tcPr>
            <w:tcW w:w="2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8"/>
              <w:spacing w:after="0" w:line="130"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gridSpan w:val="2"/>
          </w:tcPr>
          <w:p>
            <w:pPr>
              <w:jc w:val="right"/>
              <w:ind w:right="208"/>
              <w:spacing w:after="0" w:line="130" w:lineRule="exact"/>
              <w:rPr>
                <w:sz w:val="20"/>
                <w:szCs w:val="20"/>
                <w:color w:val="auto"/>
              </w:rPr>
            </w:pPr>
            <w:r>
              <w:rPr>
                <w:rFonts w:ascii="Arial" w:cs="Arial" w:eastAsia="Arial" w:hAnsi="Arial"/>
                <w:sz w:val="14"/>
                <w:szCs w:val="14"/>
                <w:color w:val="auto"/>
              </w:rPr>
              <w:t>$8,014</w:t>
            </w:r>
          </w:p>
        </w:tc>
        <w:tc>
          <w:tcPr>
            <w:tcW w:w="1300" w:type="dxa"/>
            <w:vAlign w:val="bottom"/>
            <w:tcBorders>
              <w:top w:val="single" w:sz="8" w:color="auto"/>
            </w:tcBorders>
            <w:gridSpan w:val="2"/>
          </w:tcPr>
          <w:p>
            <w:pPr>
              <w:jc w:val="right"/>
              <w:spacing w:after="0" w:line="130" w:lineRule="exact"/>
              <w:rPr>
                <w:sz w:val="20"/>
                <w:szCs w:val="20"/>
                <w:color w:val="auto"/>
              </w:rPr>
            </w:pPr>
            <w:r>
              <w:rPr>
                <w:rFonts w:ascii="Arial" w:cs="Arial" w:eastAsia="Arial" w:hAnsi="Arial"/>
                <w:sz w:val="14"/>
                <w:szCs w:val="14"/>
                <w:color w:val="auto"/>
              </w:rPr>
              <w:t>$859,614</w:t>
            </w:r>
          </w:p>
        </w:tc>
      </w:tr>
      <w:tr>
        <w:trPr>
          <w:trHeight w:val="149"/>
        </w:trPr>
        <w:tc>
          <w:tcPr>
            <w:tcW w:w="20" w:type="dxa"/>
            <w:vAlign w:val="bottom"/>
          </w:tcPr>
          <w:p>
            <w:pPr>
              <w:spacing w:after="0"/>
              <w:rPr>
                <w:sz w:val="12"/>
                <w:szCs w:val="12"/>
                <w:color w:val="auto"/>
              </w:rPr>
            </w:pPr>
          </w:p>
        </w:tc>
        <w:tc>
          <w:tcPr>
            <w:tcW w:w="218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Vice President of Marketing</w:t>
            </w:r>
          </w:p>
        </w:tc>
        <w:tc>
          <w:tcPr>
            <w:tcW w:w="1180" w:type="dxa"/>
            <w:vAlign w:val="bottom"/>
          </w:tcPr>
          <w:p>
            <w:pPr>
              <w:ind w:left="440"/>
              <w:spacing w:after="0" w:line="149" w:lineRule="exact"/>
              <w:rPr>
                <w:sz w:val="20"/>
                <w:szCs w:val="20"/>
                <w:color w:val="auto"/>
              </w:rPr>
            </w:pPr>
            <w:r>
              <w:rPr>
                <w:rFonts w:ascii="Arial" w:cs="Arial" w:eastAsia="Arial" w:hAnsi="Arial"/>
                <w:sz w:val="14"/>
                <w:szCs w:val="14"/>
                <w:color w:val="auto"/>
              </w:rPr>
              <w:t>2008</w:t>
            </w:r>
          </w:p>
        </w:tc>
        <w:tc>
          <w:tcPr>
            <w:tcW w:w="104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9"/>
              </w:rPr>
              <w:t>$200,000</w:t>
            </w:r>
          </w:p>
        </w:tc>
        <w:tc>
          <w:tcPr>
            <w:tcW w:w="12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$270,000</w:t>
            </w:r>
          </w:p>
        </w:tc>
        <w:tc>
          <w:tcPr>
            <w:tcW w:w="12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$398,790</w:t>
            </w:r>
          </w:p>
        </w:tc>
        <w:tc>
          <w:tcPr>
            <w:tcW w:w="220" w:type="dxa"/>
            <w:vAlign w:val="bottom"/>
          </w:tcPr>
          <w:p>
            <w:pPr>
              <w:spacing w:after="0"/>
              <w:rPr>
                <w:sz w:val="12"/>
                <w:szCs w:val="12"/>
                <w:color w:val="auto"/>
              </w:rPr>
            </w:pPr>
          </w:p>
        </w:tc>
        <w:tc>
          <w:tcPr>
            <w:tcW w:w="11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$7,492</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$876,282</w:t>
            </w:r>
          </w:p>
        </w:tc>
      </w:tr>
      <w:tr>
        <w:trPr>
          <w:trHeight w:val="182"/>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ind w:left="440"/>
              <w:spacing w:after="0"/>
              <w:rPr>
                <w:sz w:val="20"/>
                <w:szCs w:val="20"/>
                <w:color w:val="auto"/>
              </w:rPr>
            </w:pPr>
            <w:r>
              <w:rPr>
                <w:rFonts w:ascii="Arial" w:cs="Arial" w:eastAsia="Arial" w:hAnsi="Arial"/>
                <w:sz w:val="14"/>
                <w:szCs w:val="14"/>
                <w:color w:val="auto"/>
              </w:rPr>
              <w:t>2007</w:t>
            </w: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w w:val="99"/>
              </w:rPr>
              <w:t>$170,000</w:t>
            </w:r>
          </w:p>
        </w:tc>
        <w:tc>
          <w:tcPr>
            <w:tcW w:w="1260" w:type="dxa"/>
            <w:vAlign w:val="bottom"/>
            <w:gridSpan w:val="2"/>
          </w:tcPr>
          <w:p>
            <w:pPr>
              <w:jc w:val="right"/>
              <w:ind w:right="28"/>
              <w:spacing w:after="0"/>
              <w:rPr>
                <w:sz w:val="20"/>
                <w:szCs w:val="20"/>
                <w:color w:val="auto"/>
              </w:rPr>
            </w:pPr>
            <w:r>
              <w:rPr>
                <w:rFonts w:ascii="Arial" w:cs="Arial" w:eastAsia="Arial" w:hAnsi="Arial"/>
                <w:sz w:val="14"/>
                <w:szCs w:val="14"/>
                <w:color w:val="auto"/>
              </w:rPr>
              <w:t>$210,000</w:t>
            </w:r>
          </w:p>
        </w:tc>
        <w:tc>
          <w:tcPr>
            <w:tcW w:w="1280" w:type="dxa"/>
            <w:vAlign w:val="bottom"/>
            <w:gridSpan w:val="2"/>
          </w:tcPr>
          <w:p>
            <w:pPr>
              <w:jc w:val="right"/>
              <w:ind w:right="28"/>
              <w:spacing w:after="0"/>
              <w:rPr>
                <w:sz w:val="20"/>
                <w:szCs w:val="20"/>
                <w:color w:val="auto"/>
              </w:rPr>
            </w:pPr>
            <w:r>
              <w:rPr>
                <w:rFonts w:ascii="Arial" w:cs="Arial" w:eastAsia="Arial" w:hAnsi="Arial"/>
                <w:sz w:val="14"/>
                <w:szCs w:val="14"/>
                <w:color w:val="auto"/>
              </w:rPr>
              <w:t>$308,700</w:t>
            </w:r>
          </w:p>
        </w:tc>
        <w:tc>
          <w:tcPr>
            <w:tcW w:w="1400" w:type="dxa"/>
            <w:vAlign w:val="bottom"/>
            <w:gridSpan w:val="2"/>
          </w:tcPr>
          <w:p>
            <w:pPr>
              <w:jc w:val="right"/>
              <w:ind w:right="28"/>
              <w:spacing w:after="0"/>
              <w:rPr>
                <w:sz w:val="20"/>
                <w:szCs w:val="20"/>
                <w:color w:val="auto"/>
              </w:rPr>
            </w:pPr>
            <w:r>
              <w:rPr>
                <w:rFonts w:ascii="Arial" w:cs="Arial" w:eastAsia="Arial" w:hAnsi="Arial"/>
                <w:sz w:val="14"/>
                <w:szCs w:val="14"/>
                <w:color w:val="auto"/>
              </w:rPr>
              <w:t>$287</w:t>
            </w:r>
          </w:p>
        </w:tc>
        <w:tc>
          <w:tcPr>
            <w:tcW w:w="1640" w:type="dxa"/>
            <w:vAlign w:val="bottom"/>
            <w:gridSpan w:val="2"/>
          </w:tcPr>
          <w:p>
            <w:pPr>
              <w:jc w:val="right"/>
              <w:ind w:right="208"/>
              <w:spacing w:after="0"/>
              <w:rPr>
                <w:sz w:val="20"/>
                <w:szCs w:val="20"/>
                <w:color w:val="auto"/>
              </w:rPr>
            </w:pPr>
            <w:r>
              <w:rPr>
                <w:rFonts w:ascii="Arial" w:cs="Arial" w:eastAsia="Arial" w:hAnsi="Arial"/>
                <w:sz w:val="14"/>
                <w:szCs w:val="14"/>
                <w:color w:val="auto"/>
              </w:rPr>
              <w:t>$7,294</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$696,281</w:t>
            </w:r>
          </w:p>
        </w:tc>
      </w:tr>
      <w:tr>
        <w:trPr>
          <w:trHeight w:val="208"/>
        </w:trPr>
        <w:tc>
          <w:tcPr>
            <w:tcW w:w="20" w:type="dxa"/>
            <w:vAlign w:val="bottom"/>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bl>
    <w:p>
      <w:pPr>
        <w:spacing w:after="0" w:line="229" w:lineRule="exact"/>
        <w:rPr>
          <w:sz w:val="20"/>
          <w:szCs w:val="20"/>
          <w:color w:val="auto"/>
        </w:rPr>
      </w:pPr>
    </w:p>
    <w:p>
      <w:pPr>
        <w:jc w:val="both"/>
        <w:ind w:left="360" w:hanging="352"/>
        <w:spacing w:after="0" w:line="222"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Reflects the full grant date fair value of restricted stock and stock option awards granted in 2007, 2008 and 2009 calculated in accordance with FASB ASC Topic 718. Assumptions used in the calculation of these amounts are included in note 7 to our audited financial statements for the fiscal year ended December 31, 2009 included in our Annual Report on Form 10-K filed with the Securities and Exchange Commission on February 26, 2010. See ″Grants of Plan-Based Awards in 2009″ for more information regarding awards of restricted stock and stock options.</w:t>
      </w:r>
    </w:p>
    <w:p>
      <w:pPr>
        <w:ind w:left="360" w:hanging="352"/>
        <w:spacing w:after="0" w:line="216"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Amounts for 2009 and 2007 include above market aggregate earnings. Excludes below market returns (losses) from the Company′s deferred compensation plans in 2008.</w:t>
      </w:r>
    </w:p>
    <w:p>
      <w:pPr>
        <w:ind w:left="360" w:hanging="352"/>
        <w:spacing w:after="0" w:line="216" w:lineRule="auto"/>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value of all perquisites provided to each executive officer by us did not exceed $10,000 for 2007, 2008 and 2009 and therefore no perquisites are included in this table.</w:t>
      </w:r>
    </w:p>
    <w:p>
      <w:pPr>
        <w:ind w:left="360" w:hanging="352"/>
        <w:spacing w:after="0"/>
        <w:tabs>
          <w:tab w:leader="none" w:pos="3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Amounts in this column include life insurance premiums paid by us of $95,459 for Mr. Allison and $28,553 for Mr. Burns in each of 2007, 2008 and 2009.</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Salary ($): </w:t>
      </w:r>
      <w:r>
        <w:rPr>
          <w:rFonts w:ascii="Arial" w:cs="Arial" w:eastAsia="Arial" w:hAnsi="Arial"/>
          <w:sz w:val="18"/>
          <w:szCs w:val="18"/>
          <w:color w:val="auto"/>
        </w:rPr>
        <w:t>Values shown represent the base salary earnings of the named executive officers for 2009.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Bonus ($): </w:t>
      </w:r>
      <w:r>
        <w:rPr>
          <w:rFonts w:ascii="Arial" w:cs="Arial" w:eastAsia="Arial" w:hAnsi="Arial"/>
          <w:sz w:val="18"/>
          <w:szCs w:val="18"/>
          <w:color w:val="auto"/>
        </w:rPr>
        <w:t>Values reflect the cash bonus earned by the named executive officers in 2009.</w:t>
      </w:r>
    </w:p>
    <w:p>
      <w:pPr>
        <w:spacing w:after="0" w:line="25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Stock Awards ($): </w:t>
      </w:r>
      <w:r>
        <w:rPr>
          <w:rFonts w:ascii="Arial" w:cs="Arial" w:eastAsia="Arial" w:hAnsi="Arial"/>
          <w:sz w:val="18"/>
          <w:szCs w:val="18"/>
          <w:color w:val="auto"/>
        </w:rPr>
        <w:t>This column represents the grant date fair value of grants of restricted stock made during 2009. Previously, these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the aggregate compensation expense that was recognized during the year on outstanding restricted stock. The amounts shown in this column for 2008 and 2007 have been restated to reflect the new reporting rules adopted by the SEC in December 2009.</w:t>
      </w:r>
    </w:p>
    <w:p>
      <w:pPr>
        <w:spacing w:after="0" w:line="20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Non-Qualified Deferred Compensation Earnings ($): </w:t>
      </w:r>
      <w:r>
        <w:rPr>
          <w:rFonts w:ascii="Arial" w:cs="Arial" w:eastAsia="Arial" w:hAnsi="Arial"/>
          <w:sz w:val="17"/>
          <w:szCs w:val="17"/>
          <w:color w:val="auto"/>
        </w:rPr>
        <w:t>This column reflects ″above market″ earnings on non-qualified deferred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plans. This is the difference between (i) actual earnings on the cash surrender values of universal life insurance policies owned by us insuring each executive under our Supplemental Executive Retirement Plan, and (ii) market interest rates, as determined pursuant to the SEC′s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All Other Compensation ($): </w:t>
      </w:r>
      <w:r>
        <w:rPr>
          <w:rFonts w:ascii="Arial" w:cs="Arial" w:eastAsia="Arial" w:hAnsi="Arial"/>
          <w:sz w:val="18"/>
          <w:szCs w:val="18"/>
          <w:color w:val="auto"/>
        </w:rPr>
        <w:t>This column represents the value of the additional benefits provided by us that include the employer match under our</w:t>
      </w:r>
      <w:r>
        <w:rPr>
          <w:rFonts w:ascii="Arial" w:cs="Arial" w:eastAsia="Arial" w:hAnsi="Arial"/>
          <w:sz w:val="18"/>
          <w:szCs w:val="18"/>
          <w:b w:val="1"/>
          <w:bCs w:val="1"/>
          <w:color w:val="auto"/>
        </w:rPr>
        <w:t xml:space="preserve"> </w:t>
      </w:r>
      <w:r>
        <w:rPr>
          <w:rFonts w:ascii="Arial" w:cs="Arial" w:eastAsia="Arial" w:hAnsi="Arial"/>
          <w:sz w:val="18"/>
          <w:szCs w:val="18"/>
          <w:color w:val="auto"/>
        </w:rPr>
        <w:t>401(k) plan, life insurance premiums paid by us for the benefit of certain executive officers, and the value of insurance provided under our Supplemental Executive Retirement Plan.</w:t>
      </w:r>
    </w:p>
    <w:p>
      <w:pPr>
        <w:spacing w:after="0" w:line="2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Grants of Plan-Based Awards in 2009. </w:t>
      </w:r>
      <w:r>
        <w:rPr>
          <w:rFonts w:ascii="Arial" w:cs="Arial" w:eastAsia="Arial" w:hAnsi="Arial"/>
          <w:sz w:val="18"/>
          <w:szCs w:val="18"/>
          <w:color w:val="auto"/>
        </w:rPr>
        <w:t>The following table sets forth certain information with respect to the value of grants of stock-based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our named executive officers during 2009.</w:t>
      </w:r>
    </w:p>
    <w:p>
      <w:pPr>
        <w:spacing w:after="0" w:line="200" w:lineRule="exact"/>
        <w:rPr>
          <w:sz w:val="20"/>
          <w:szCs w:val="20"/>
          <w:color w:val="auto"/>
        </w:rPr>
      </w:pP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i w:val="1"/>
                <w:iCs w:val="1"/>
                <w:color w:val="auto"/>
              </w:rPr>
              <w:t>Stock Awards</w:t>
            </w: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Pr>
          <w:p>
            <w:pPr>
              <w:jc w:val="right"/>
              <w:spacing w:after="0" w:line="130" w:lineRule="exact"/>
              <w:rPr>
                <w:sz w:val="20"/>
                <w:szCs w:val="20"/>
                <w:color w:val="auto"/>
              </w:rPr>
            </w:pPr>
            <w:r>
              <w:rPr>
                <w:rFonts w:ascii="Arial" w:cs="Arial" w:eastAsia="Arial" w:hAnsi="Arial"/>
                <w:sz w:val="14"/>
                <w:szCs w:val="14"/>
                <w:b w:val="1"/>
                <w:bCs w:val="1"/>
                <w:i w:val="1"/>
                <w:iCs w:val="1"/>
                <w:color w:val="auto"/>
                <w:w w:val="92"/>
              </w:rPr>
              <w:t>Number of Shares of</w:t>
            </w:r>
          </w:p>
        </w:tc>
        <w:tc>
          <w:tcPr>
            <w:tcW w:w="420" w:type="dxa"/>
            <w:vAlign w:val="bottom"/>
          </w:tcPr>
          <w:p>
            <w:pPr>
              <w:spacing w:after="0"/>
              <w:rPr>
                <w:sz w:val="11"/>
                <w:szCs w:val="11"/>
                <w:color w:val="auto"/>
              </w:rPr>
            </w:pPr>
          </w:p>
        </w:tc>
        <w:tc>
          <w:tcPr>
            <w:tcW w:w="1400" w:type="dxa"/>
            <w:vAlign w:val="bottom"/>
          </w:tcPr>
          <w:p>
            <w:pPr>
              <w:jc w:val="right"/>
              <w:spacing w:after="0" w:line="130" w:lineRule="exact"/>
              <w:rPr>
                <w:sz w:val="20"/>
                <w:szCs w:val="20"/>
                <w:color w:val="auto"/>
              </w:rPr>
            </w:pPr>
            <w:r>
              <w:rPr>
                <w:rFonts w:ascii="Arial" w:cs="Arial" w:eastAsia="Arial" w:hAnsi="Arial"/>
                <w:sz w:val="14"/>
                <w:szCs w:val="14"/>
                <w:b w:val="1"/>
                <w:bCs w:val="1"/>
                <w:i w:val="1"/>
                <w:iCs w:val="1"/>
                <w:color w:val="auto"/>
                <w:w w:val="94"/>
              </w:rPr>
              <w:t>Grant Date Fair Value</w:t>
            </w:r>
          </w:p>
        </w:tc>
      </w:tr>
      <w:tr>
        <w:trPr>
          <w:trHeight w:val="174"/>
        </w:trPr>
        <w:tc>
          <w:tcPr>
            <w:tcW w:w="20" w:type="dxa"/>
            <w:vAlign w:val="bottom"/>
          </w:tcPr>
          <w:p>
            <w:pPr>
              <w:spacing w:after="0"/>
              <w:rPr>
                <w:sz w:val="15"/>
                <w:szCs w:val="15"/>
                <w:color w:val="auto"/>
              </w:rPr>
            </w:pPr>
          </w:p>
        </w:tc>
        <w:tc>
          <w:tcPr>
            <w:tcW w:w="378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i w:val="1"/>
                <w:iCs w:val="1"/>
                <w:color w:val="auto"/>
              </w:rPr>
              <w:t>Name and Principal Position</w:t>
            </w:r>
          </w:p>
        </w:tc>
        <w:tc>
          <w:tcPr>
            <w:tcW w:w="26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4"/>
              </w:rPr>
              <w:t>Grant Date</w:t>
            </w:r>
          </w:p>
        </w:tc>
        <w:tc>
          <w:tcPr>
            <w:tcW w:w="400" w:type="dxa"/>
            <w:vAlign w:val="bottom"/>
          </w:tcPr>
          <w:p>
            <w:pPr>
              <w:spacing w:after="0"/>
              <w:rPr>
                <w:sz w:val="15"/>
                <w:szCs w:val="15"/>
                <w:color w:val="auto"/>
              </w:rPr>
            </w:pPr>
          </w:p>
        </w:tc>
        <w:tc>
          <w:tcPr>
            <w:tcW w:w="13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i w:val="1"/>
                <w:iCs w:val="1"/>
                <w:color w:val="auto"/>
              </w:rPr>
              <w:t>Stock(#)</w:t>
            </w:r>
            <w:r>
              <w:rPr>
                <w:rFonts w:ascii="Arial" w:cs="Arial" w:eastAsia="Arial" w:hAnsi="Arial"/>
                <w:sz w:val="10"/>
                <w:szCs w:val="10"/>
                <w:b w:val="1"/>
                <w:bCs w:val="1"/>
                <w:i w:val="1"/>
                <w:iCs w:val="1"/>
                <w:color w:val="auto"/>
              </w:rPr>
              <w:t>(1)</w:t>
            </w:r>
          </w:p>
        </w:tc>
        <w:tc>
          <w:tcPr>
            <w:tcW w:w="420" w:type="dxa"/>
            <w:vAlign w:val="bottom"/>
          </w:tcPr>
          <w:p>
            <w:pPr>
              <w:spacing w:after="0"/>
              <w:rPr>
                <w:sz w:val="15"/>
                <w:szCs w:val="15"/>
                <w:color w:val="auto"/>
              </w:rPr>
            </w:pPr>
          </w:p>
        </w:tc>
        <w:tc>
          <w:tcPr>
            <w:tcW w:w="1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i w:val="1"/>
                <w:iCs w:val="1"/>
                <w:color w:val="auto"/>
                <w:w w:val="98"/>
              </w:rPr>
              <w:t>of Stock Awards</w:t>
            </w:r>
            <w:r>
              <w:rPr>
                <w:rFonts w:ascii="Arial" w:cs="Arial" w:eastAsia="Arial" w:hAnsi="Arial"/>
                <w:sz w:val="10"/>
                <w:szCs w:val="10"/>
                <w:b w:val="1"/>
                <w:bCs w:val="1"/>
                <w:i w:val="1"/>
                <w:iCs w:val="1"/>
                <w:color w:val="auto"/>
                <w:w w:val="98"/>
              </w:rPr>
              <w:t>(2)</w:t>
            </w:r>
          </w:p>
        </w:tc>
      </w:tr>
      <w:tr>
        <w:trPr>
          <w:trHeight w:val="278"/>
        </w:trPr>
        <w:tc>
          <w:tcPr>
            <w:tcW w:w="4060" w:type="dxa"/>
            <w:vAlign w:val="bottom"/>
            <w:gridSpan w:val="3"/>
          </w:tcPr>
          <w:p>
            <w:pPr>
              <w:spacing w:after="0"/>
              <w:rPr>
                <w:sz w:val="20"/>
                <w:szCs w:val="20"/>
                <w:color w:val="auto"/>
              </w:rPr>
            </w:pPr>
            <w:r>
              <w:rPr>
                <w:rFonts w:ascii="Arial" w:cs="Arial" w:eastAsia="Arial" w:hAnsi="Arial"/>
                <w:sz w:val="14"/>
                <w:szCs w:val="14"/>
                <w:color w:val="auto"/>
              </w:rPr>
              <w:t>M. Jay Allison</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December 9, 2009</w:t>
            </w:r>
          </w:p>
        </w:tc>
        <w:tc>
          <w:tcPr>
            <w:tcW w:w="1760" w:type="dxa"/>
            <w:vAlign w:val="bottom"/>
            <w:gridSpan w:val="2"/>
          </w:tcPr>
          <w:p>
            <w:pPr>
              <w:jc w:val="right"/>
              <w:ind w:right="48"/>
              <w:spacing w:after="0"/>
              <w:rPr>
                <w:sz w:val="20"/>
                <w:szCs w:val="20"/>
                <w:color w:val="auto"/>
              </w:rPr>
            </w:pPr>
            <w:r>
              <w:rPr>
                <w:rFonts w:ascii="Arial" w:cs="Arial" w:eastAsia="Arial" w:hAnsi="Arial"/>
                <w:sz w:val="14"/>
                <w:szCs w:val="14"/>
                <w:color w:val="auto"/>
              </w:rPr>
              <w:t>225,000</w:t>
            </w:r>
          </w:p>
        </w:tc>
        <w:tc>
          <w:tcPr>
            <w:tcW w:w="1820" w:type="dxa"/>
            <w:vAlign w:val="bottom"/>
            <w:gridSpan w:val="2"/>
          </w:tcPr>
          <w:p>
            <w:pPr>
              <w:jc w:val="right"/>
              <w:ind w:right="68"/>
              <w:spacing w:after="0"/>
              <w:rPr>
                <w:sz w:val="20"/>
                <w:szCs w:val="20"/>
                <w:color w:val="auto"/>
              </w:rPr>
            </w:pPr>
            <w:r>
              <w:rPr>
                <w:rFonts w:ascii="Arial" w:cs="Arial" w:eastAsia="Arial" w:hAnsi="Arial"/>
                <w:sz w:val="14"/>
                <w:szCs w:val="14"/>
                <w:color w:val="auto"/>
              </w:rPr>
              <w:t>$8,203,500</w:t>
            </w:r>
          </w:p>
        </w:tc>
      </w:tr>
      <w:tr>
        <w:trPr>
          <w:trHeight w:val="149"/>
        </w:trPr>
        <w:tc>
          <w:tcPr>
            <w:tcW w:w="20" w:type="dxa"/>
            <w:vAlign w:val="bottom"/>
          </w:tcPr>
          <w:p>
            <w:pPr>
              <w:spacing w:after="0"/>
              <w:rPr>
                <w:sz w:val="12"/>
                <w:szCs w:val="12"/>
                <w:color w:val="auto"/>
              </w:rPr>
            </w:pPr>
          </w:p>
        </w:tc>
        <w:tc>
          <w:tcPr>
            <w:tcW w:w="404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President and</w:t>
            </w: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4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1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278"/>
        </w:trPr>
        <w:tc>
          <w:tcPr>
            <w:tcW w:w="4060" w:type="dxa"/>
            <w:vAlign w:val="bottom"/>
            <w:gridSpan w:val="3"/>
          </w:tcPr>
          <w:p>
            <w:pPr>
              <w:spacing w:after="0"/>
              <w:rPr>
                <w:sz w:val="20"/>
                <w:szCs w:val="20"/>
                <w:color w:val="auto"/>
              </w:rPr>
            </w:pPr>
            <w:r>
              <w:rPr>
                <w:rFonts w:ascii="Arial" w:cs="Arial" w:eastAsia="Arial" w:hAnsi="Arial"/>
                <w:sz w:val="14"/>
                <w:szCs w:val="14"/>
                <w:color w:val="auto"/>
              </w:rPr>
              <w:t>Roland O. Burns</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December 9, 2009</w:t>
            </w:r>
          </w:p>
        </w:tc>
        <w:tc>
          <w:tcPr>
            <w:tcW w:w="1760" w:type="dxa"/>
            <w:vAlign w:val="bottom"/>
            <w:gridSpan w:val="2"/>
          </w:tcPr>
          <w:p>
            <w:pPr>
              <w:jc w:val="right"/>
              <w:ind w:right="48"/>
              <w:spacing w:after="0"/>
              <w:rPr>
                <w:sz w:val="20"/>
                <w:szCs w:val="20"/>
                <w:color w:val="auto"/>
              </w:rPr>
            </w:pPr>
            <w:r>
              <w:rPr>
                <w:rFonts w:ascii="Arial" w:cs="Arial" w:eastAsia="Arial" w:hAnsi="Arial"/>
                <w:sz w:val="14"/>
                <w:szCs w:val="14"/>
                <w:color w:val="auto"/>
              </w:rPr>
              <w:t>90,000</w:t>
            </w:r>
          </w:p>
        </w:tc>
        <w:tc>
          <w:tcPr>
            <w:tcW w:w="1820" w:type="dxa"/>
            <w:vAlign w:val="bottom"/>
            <w:gridSpan w:val="2"/>
          </w:tcPr>
          <w:p>
            <w:pPr>
              <w:jc w:val="right"/>
              <w:ind w:right="68"/>
              <w:spacing w:after="0"/>
              <w:rPr>
                <w:sz w:val="20"/>
                <w:szCs w:val="20"/>
                <w:color w:val="auto"/>
              </w:rPr>
            </w:pPr>
            <w:r>
              <w:rPr>
                <w:rFonts w:ascii="Arial" w:cs="Arial" w:eastAsia="Arial" w:hAnsi="Arial"/>
                <w:sz w:val="14"/>
                <w:szCs w:val="14"/>
                <w:color w:val="auto"/>
              </w:rPr>
              <w:t>$3,281,400</w:t>
            </w:r>
          </w:p>
        </w:tc>
      </w:tr>
      <w:tr>
        <w:trPr>
          <w:trHeight w:val="149"/>
        </w:trPr>
        <w:tc>
          <w:tcPr>
            <w:tcW w:w="20" w:type="dxa"/>
            <w:vAlign w:val="bottom"/>
          </w:tcPr>
          <w:p>
            <w:pPr>
              <w:spacing w:after="0"/>
              <w:rPr>
                <w:sz w:val="12"/>
                <w:szCs w:val="12"/>
                <w:color w:val="auto"/>
              </w:rPr>
            </w:pPr>
          </w:p>
        </w:tc>
        <w:tc>
          <w:tcPr>
            <w:tcW w:w="404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Senior Vice President and</w:t>
            </w: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4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1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278"/>
        </w:trPr>
        <w:tc>
          <w:tcPr>
            <w:tcW w:w="4060" w:type="dxa"/>
            <w:vAlign w:val="bottom"/>
            <w:gridSpan w:val="3"/>
          </w:tcPr>
          <w:p>
            <w:pPr>
              <w:spacing w:after="0"/>
              <w:rPr>
                <w:sz w:val="20"/>
                <w:szCs w:val="20"/>
                <w:color w:val="auto"/>
              </w:rPr>
            </w:pPr>
            <w:r>
              <w:rPr>
                <w:rFonts w:ascii="Arial" w:cs="Arial" w:eastAsia="Arial" w:hAnsi="Arial"/>
                <w:sz w:val="14"/>
                <w:szCs w:val="14"/>
                <w:color w:val="auto"/>
              </w:rPr>
              <w:t>Mack D. Good</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December 9, 2009</w:t>
            </w:r>
          </w:p>
        </w:tc>
        <w:tc>
          <w:tcPr>
            <w:tcW w:w="1760" w:type="dxa"/>
            <w:vAlign w:val="bottom"/>
            <w:gridSpan w:val="2"/>
          </w:tcPr>
          <w:p>
            <w:pPr>
              <w:jc w:val="right"/>
              <w:ind w:right="48"/>
              <w:spacing w:after="0"/>
              <w:rPr>
                <w:sz w:val="20"/>
                <w:szCs w:val="20"/>
                <w:color w:val="auto"/>
              </w:rPr>
            </w:pPr>
            <w:r>
              <w:rPr>
                <w:rFonts w:ascii="Arial" w:cs="Arial" w:eastAsia="Arial" w:hAnsi="Arial"/>
                <w:sz w:val="14"/>
                <w:szCs w:val="14"/>
                <w:color w:val="auto"/>
              </w:rPr>
              <w:t>33,000</w:t>
            </w:r>
          </w:p>
        </w:tc>
        <w:tc>
          <w:tcPr>
            <w:tcW w:w="1820" w:type="dxa"/>
            <w:vAlign w:val="bottom"/>
            <w:gridSpan w:val="2"/>
          </w:tcPr>
          <w:p>
            <w:pPr>
              <w:jc w:val="right"/>
              <w:ind w:right="68"/>
              <w:spacing w:after="0"/>
              <w:rPr>
                <w:sz w:val="20"/>
                <w:szCs w:val="20"/>
                <w:color w:val="auto"/>
              </w:rPr>
            </w:pPr>
            <w:r>
              <w:rPr>
                <w:rFonts w:ascii="Arial" w:cs="Arial" w:eastAsia="Arial" w:hAnsi="Arial"/>
                <w:sz w:val="14"/>
                <w:szCs w:val="14"/>
                <w:color w:val="auto"/>
              </w:rPr>
              <w:t>$1,203,180</w:t>
            </w:r>
          </w:p>
        </w:tc>
      </w:tr>
      <w:tr>
        <w:trPr>
          <w:trHeight w:val="174"/>
        </w:trPr>
        <w:tc>
          <w:tcPr>
            <w:tcW w:w="20" w:type="dxa"/>
            <w:vAlign w:val="bottom"/>
          </w:tcPr>
          <w:p>
            <w:pPr>
              <w:spacing w:after="0"/>
              <w:rPr>
                <w:sz w:val="15"/>
                <w:szCs w:val="15"/>
                <w:color w:val="auto"/>
              </w:rPr>
            </w:pPr>
          </w:p>
        </w:tc>
        <w:tc>
          <w:tcPr>
            <w:tcW w:w="4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i w:val="1"/>
                <w:iCs w:val="1"/>
                <w:color w:val="auto"/>
              </w:rPr>
              <w:t>Chief Operating Officer</w:t>
            </w:r>
          </w:p>
        </w:tc>
        <w:tc>
          <w:tcPr>
            <w:tcW w:w="1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278"/>
        </w:trPr>
        <w:tc>
          <w:tcPr>
            <w:tcW w:w="4060" w:type="dxa"/>
            <w:vAlign w:val="bottom"/>
            <w:gridSpan w:val="3"/>
          </w:tcPr>
          <w:p>
            <w:pPr>
              <w:spacing w:after="0"/>
              <w:rPr>
                <w:sz w:val="20"/>
                <w:szCs w:val="20"/>
                <w:color w:val="auto"/>
              </w:rPr>
            </w:pPr>
            <w:r>
              <w:rPr>
                <w:rFonts w:ascii="Arial" w:cs="Arial" w:eastAsia="Arial" w:hAnsi="Arial"/>
                <w:sz w:val="14"/>
                <w:szCs w:val="14"/>
                <w:color w:val="auto"/>
              </w:rPr>
              <w:t>D. Dale Gillette</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December 9, 2009</w:t>
            </w:r>
          </w:p>
        </w:tc>
        <w:tc>
          <w:tcPr>
            <w:tcW w:w="1760" w:type="dxa"/>
            <w:vAlign w:val="bottom"/>
            <w:gridSpan w:val="2"/>
          </w:tcPr>
          <w:p>
            <w:pPr>
              <w:jc w:val="right"/>
              <w:ind w:right="48"/>
              <w:spacing w:after="0"/>
              <w:rPr>
                <w:sz w:val="20"/>
                <w:szCs w:val="20"/>
                <w:color w:val="auto"/>
              </w:rPr>
            </w:pPr>
            <w:r>
              <w:rPr>
                <w:rFonts w:ascii="Arial" w:cs="Arial" w:eastAsia="Arial" w:hAnsi="Arial"/>
                <w:sz w:val="14"/>
                <w:szCs w:val="14"/>
                <w:color w:val="auto"/>
              </w:rPr>
              <w:t>11,000</w:t>
            </w:r>
          </w:p>
        </w:tc>
        <w:tc>
          <w:tcPr>
            <w:tcW w:w="1820" w:type="dxa"/>
            <w:vAlign w:val="bottom"/>
            <w:gridSpan w:val="2"/>
          </w:tcPr>
          <w:p>
            <w:pPr>
              <w:jc w:val="right"/>
              <w:ind w:right="68"/>
              <w:spacing w:after="0"/>
              <w:rPr>
                <w:sz w:val="20"/>
                <w:szCs w:val="20"/>
                <w:color w:val="auto"/>
              </w:rPr>
            </w:pPr>
            <w:r>
              <w:rPr>
                <w:rFonts w:ascii="Arial" w:cs="Arial" w:eastAsia="Arial" w:hAnsi="Arial"/>
                <w:sz w:val="14"/>
                <w:szCs w:val="14"/>
                <w:color w:val="auto"/>
              </w:rPr>
              <w:t>$401,060</w:t>
            </w:r>
          </w:p>
        </w:tc>
      </w:tr>
      <w:tr>
        <w:trPr>
          <w:trHeight w:val="149"/>
        </w:trPr>
        <w:tc>
          <w:tcPr>
            <w:tcW w:w="20" w:type="dxa"/>
            <w:vAlign w:val="bottom"/>
          </w:tcPr>
          <w:p>
            <w:pPr>
              <w:spacing w:after="0"/>
              <w:rPr>
                <w:sz w:val="12"/>
                <w:szCs w:val="12"/>
                <w:color w:val="auto"/>
              </w:rPr>
            </w:pPr>
          </w:p>
        </w:tc>
        <w:tc>
          <w:tcPr>
            <w:tcW w:w="404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Vice President of Land and</w:t>
            </w:r>
          </w:p>
        </w:tc>
        <w:tc>
          <w:tcPr>
            <w:tcW w:w="1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4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i w:val="1"/>
                <w:iCs w:val="1"/>
                <w:color w:val="auto"/>
              </w:rPr>
              <w:t>General Counsel</w:t>
            </w:r>
          </w:p>
        </w:tc>
        <w:tc>
          <w:tcPr>
            <w:tcW w:w="1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278"/>
        </w:trPr>
        <w:tc>
          <w:tcPr>
            <w:tcW w:w="4060" w:type="dxa"/>
            <w:vAlign w:val="bottom"/>
            <w:gridSpan w:val="3"/>
          </w:tcPr>
          <w:p>
            <w:pPr>
              <w:spacing w:after="0"/>
              <w:rPr>
                <w:sz w:val="20"/>
                <w:szCs w:val="20"/>
                <w:color w:val="auto"/>
              </w:rPr>
            </w:pPr>
            <w:r>
              <w:rPr>
                <w:rFonts w:ascii="Arial" w:cs="Arial" w:eastAsia="Arial" w:hAnsi="Arial"/>
                <w:sz w:val="14"/>
                <w:szCs w:val="14"/>
                <w:color w:val="auto"/>
              </w:rPr>
              <w:t>Stephen E. Neukom</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December 9, 2009</w:t>
            </w:r>
          </w:p>
        </w:tc>
        <w:tc>
          <w:tcPr>
            <w:tcW w:w="1760" w:type="dxa"/>
            <w:vAlign w:val="bottom"/>
            <w:gridSpan w:val="2"/>
          </w:tcPr>
          <w:p>
            <w:pPr>
              <w:jc w:val="right"/>
              <w:ind w:right="48"/>
              <w:spacing w:after="0"/>
              <w:rPr>
                <w:sz w:val="20"/>
                <w:szCs w:val="20"/>
                <w:color w:val="auto"/>
              </w:rPr>
            </w:pPr>
            <w:r>
              <w:rPr>
                <w:rFonts w:ascii="Arial" w:cs="Arial" w:eastAsia="Arial" w:hAnsi="Arial"/>
                <w:sz w:val="14"/>
                <w:szCs w:val="14"/>
                <w:color w:val="auto"/>
              </w:rPr>
              <w:t>10,000</w:t>
            </w:r>
          </w:p>
        </w:tc>
        <w:tc>
          <w:tcPr>
            <w:tcW w:w="1820" w:type="dxa"/>
            <w:vAlign w:val="bottom"/>
            <w:gridSpan w:val="2"/>
          </w:tcPr>
          <w:p>
            <w:pPr>
              <w:jc w:val="right"/>
              <w:ind w:right="68"/>
              <w:spacing w:after="0"/>
              <w:rPr>
                <w:sz w:val="20"/>
                <w:szCs w:val="20"/>
                <w:color w:val="auto"/>
              </w:rPr>
            </w:pPr>
            <w:r>
              <w:rPr>
                <w:rFonts w:ascii="Arial" w:cs="Arial" w:eastAsia="Arial" w:hAnsi="Arial"/>
                <w:sz w:val="14"/>
                <w:szCs w:val="14"/>
                <w:color w:val="auto"/>
              </w:rPr>
              <w:t>$364,600</w:t>
            </w:r>
          </w:p>
        </w:tc>
      </w:tr>
      <w:tr>
        <w:trPr>
          <w:trHeight w:val="174"/>
        </w:trPr>
        <w:tc>
          <w:tcPr>
            <w:tcW w:w="20" w:type="dxa"/>
            <w:vAlign w:val="bottom"/>
          </w:tcPr>
          <w:p>
            <w:pPr>
              <w:spacing w:after="0"/>
              <w:rPr>
                <w:sz w:val="15"/>
                <w:szCs w:val="15"/>
                <w:color w:val="auto"/>
              </w:rPr>
            </w:pPr>
          </w:p>
        </w:tc>
        <w:tc>
          <w:tcPr>
            <w:tcW w:w="4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i w:val="1"/>
                <w:iCs w:val="1"/>
                <w:color w:val="auto"/>
              </w:rPr>
              <w:t>Vice President of Marketing</w:t>
            </w:r>
          </w:p>
        </w:tc>
        <w:tc>
          <w:tcPr>
            <w:tcW w:w="1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bl>
    <w:p>
      <w:pPr>
        <w:spacing w:after="0" w:line="224" w:lineRule="exact"/>
        <w:rPr>
          <w:sz w:val="20"/>
          <w:szCs w:val="20"/>
          <w:color w:val="auto"/>
        </w:rPr>
      </w:pPr>
    </w:p>
    <w:p>
      <w:pPr>
        <w:ind w:left="1500" w:hanging="385"/>
        <w:spacing w:after="0"/>
        <w:tabs>
          <w:tab w:leader="none" w:pos="1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Dividends are payable on the outstanding restricted shares.</w:t>
      </w:r>
    </w:p>
    <w:p>
      <w:pPr>
        <w:ind w:left="1500" w:hanging="385"/>
        <w:spacing w:after="0" w:line="229" w:lineRule="auto"/>
        <w:tabs>
          <w:tab w:leader="none" w:pos="1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grant date fair value of restricted stock awards was based upon the closing price for the Company′s stock on December 9, 2009 of $36.46 per share. Each of these stock awards vest on January 1, 2014.</w:t>
      </w:r>
    </w:p>
    <w:p>
      <w:pPr>
        <w:spacing w:after="0" w:line="21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Employment Agreements. </w:t>
      </w:r>
      <w:r>
        <w:rPr>
          <w:rFonts w:ascii="Arial" w:cs="Arial" w:eastAsia="Arial" w:hAnsi="Arial"/>
          <w:sz w:val="16"/>
          <w:szCs w:val="16"/>
          <w:color w:val="auto"/>
        </w:rPr>
        <w:t>We have employment agreements with Messrs. Allison and Burns. These agreements include separate provisions wherein</w:t>
      </w:r>
      <w:r>
        <w:rPr>
          <w:rFonts w:ascii="Arial" w:cs="Arial" w:eastAsia="Arial" w:hAnsi="Arial"/>
          <w:sz w:val="16"/>
          <w:szCs w:val="16"/>
          <w:i w:val="1"/>
          <w:iCs w:val="1"/>
          <w:color w:val="auto"/>
        </w:rPr>
        <w:t xml:space="preserve"> </w:t>
      </w:r>
      <w:r>
        <w:rPr>
          <w:rFonts w:ascii="Arial" w:cs="Arial" w:eastAsia="Arial" w:hAnsi="Arial"/>
          <w:sz w:val="16"/>
          <w:szCs w:val="16"/>
          <w:color w:val="auto"/>
        </w:rPr>
        <w:t>Messrs. Allison and Burns will receive certain prescribed benefits based upon changes in their employment status or in the event of a change in control. The compensation committee believes that it is in the company′s best interests as well as the best interests of our stockholders to offer such benefits to these executive officers. We compete for executive talent in a highly competitive market in which companies routinely offer similar benefits to senior executives. The compensation committee believes that providing change in control benefits to senior executives allows them to evalu ate objectively whether a potential change in control transaction is in the best interest of our stockholders, without having to be concerned regarding their future employment. It allows them to focus on the negotiations during such a transaction when we would require thoughtful leadership to ensure a successful outcome.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5" w:name="page26"/>
    <w:bookmarkEnd w:id="25"/>
    <w:p>
      <w:pPr>
        <w:spacing w:after="0" w:line="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″change in control″ is defined to include a variety of events, including significant changes in stock ownership, changes in our Board, certain mergers and consolidations, and the sale or disposition of all or substantially all of our consolidated assets.</w:t>
      </w:r>
    </w:p>
    <w:p>
      <w:pPr>
        <w:spacing w:after="0" w:line="1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 xml:space="preserve">Outstanding Equity Awards at December 31, 2009. </w:t>
      </w:r>
      <w:r>
        <w:rPr>
          <w:rFonts w:ascii="Arial" w:cs="Arial" w:eastAsia="Arial" w:hAnsi="Arial"/>
          <w:sz w:val="18"/>
          <w:szCs w:val="18"/>
          <w:color w:val="auto"/>
        </w:rPr>
        <w:t>The following table sets forth certain information with respect to the value of outstanding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held by our named executives at December 31,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Stock Option Awards</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1168"/>
              <w:spacing w:after="0"/>
              <w:rPr>
                <w:sz w:val="20"/>
                <w:szCs w:val="20"/>
                <w:color w:val="auto"/>
              </w:rPr>
            </w:pPr>
            <w:r>
              <w:rPr>
                <w:rFonts w:ascii="Arial" w:cs="Arial" w:eastAsia="Arial" w:hAnsi="Arial"/>
                <w:sz w:val="14"/>
                <w:szCs w:val="14"/>
                <w:b w:val="1"/>
                <w:bCs w:val="1"/>
                <w:i w:val="1"/>
                <w:iCs w:val="1"/>
                <w:color w:val="auto"/>
                <w:w w:val="88"/>
              </w:rPr>
              <w:t>Stock Awards</w:t>
            </w:r>
          </w:p>
        </w:tc>
        <w:tc>
          <w:tcPr>
            <w:tcW w:w="140" w:type="dxa"/>
            <w:vAlign w:val="bottom"/>
          </w:tcPr>
          <w:p>
            <w:pPr>
              <w:spacing w:after="0"/>
              <w:rPr>
                <w:sz w:val="15"/>
                <w:szCs w:val="15"/>
                <w:color w:val="auto"/>
              </w:rPr>
            </w:pPr>
          </w:p>
        </w:tc>
      </w:tr>
      <w:tr>
        <w:trPr>
          <w:trHeight w:val="130"/>
        </w:trPr>
        <w:tc>
          <w:tcPr>
            <w:tcW w:w="2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tcPr>
          <w:p>
            <w:pPr>
              <w:jc w:val="center"/>
              <w:spacing w:after="0" w:line="130" w:lineRule="exact"/>
              <w:rPr>
                <w:sz w:val="20"/>
                <w:szCs w:val="20"/>
                <w:color w:val="auto"/>
              </w:rPr>
            </w:pPr>
            <w:r>
              <w:rPr>
                <w:rFonts w:ascii="Arial" w:cs="Arial" w:eastAsia="Arial" w:hAnsi="Arial"/>
                <w:sz w:val="14"/>
                <w:szCs w:val="14"/>
                <w:b w:val="1"/>
                <w:bCs w:val="1"/>
                <w:i w:val="1"/>
                <w:iCs w:val="1"/>
                <w:color w:val="auto"/>
                <w:w w:val="91"/>
              </w:rPr>
              <w:t>Number of</w:t>
            </w: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Securities</w:t>
            </w: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Underlying</w:t>
            </w: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i w:val="1"/>
                <w:iCs w:val="1"/>
                <w:color w:val="auto"/>
                <w:w w:val="91"/>
              </w:rPr>
              <w:t>Number of</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Market Value of</w:t>
            </w:r>
          </w:p>
        </w:tc>
        <w:tc>
          <w:tcPr>
            <w:tcW w:w="1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Unexercised</w:t>
            </w: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jc w:val="center"/>
              <w:ind w:left="108"/>
              <w:spacing w:after="0" w:line="149" w:lineRule="exact"/>
              <w:rPr>
                <w:sz w:val="20"/>
                <w:szCs w:val="20"/>
                <w:color w:val="auto"/>
              </w:rPr>
            </w:pPr>
            <w:r>
              <w:rPr>
                <w:rFonts w:ascii="Arial" w:cs="Arial" w:eastAsia="Arial" w:hAnsi="Arial"/>
                <w:sz w:val="14"/>
                <w:szCs w:val="14"/>
                <w:b w:val="1"/>
                <w:bCs w:val="1"/>
                <w:i w:val="1"/>
                <w:iCs w:val="1"/>
                <w:color w:val="auto"/>
                <w:w w:val="86"/>
              </w:rPr>
              <w:t>Shares of Stock</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Shares of Stock</w:t>
            </w:r>
          </w:p>
        </w:tc>
        <w:tc>
          <w:tcPr>
            <w:tcW w:w="140" w:type="dxa"/>
            <w:vAlign w:val="bottom"/>
          </w:tcPr>
          <w:p>
            <w:pPr>
              <w:spacing w:after="0"/>
              <w:rPr>
                <w:sz w:val="12"/>
                <w:szCs w:val="12"/>
                <w:color w:val="auto"/>
              </w:rPr>
            </w:pPr>
          </w:p>
        </w:tc>
      </w:tr>
      <w:tr>
        <w:trPr>
          <w:trHeight w:val="149"/>
        </w:trPr>
        <w:tc>
          <w:tcPr>
            <w:tcW w:w="2700" w:type="dxa"/>
            <w:vAlign w:val="bottom"/>
            <w:gridSpan w:val="2"/>
          </w:tcPr>
          <w:p>
            <w:pPr>
              <w:ind w:left="920"/>
              <w:spacing w:after="0" w:line="149" w:lineRule="exact"/>
              <w:rPr>
                <w:sz w:val="20"/>
                <w:szCs w:val="20"/>
                <w:color w:val="auto"/>
              </w:rPr>
            </w:pPr>
            <w:r>
              <w:rPr>
                <w:rFonts w:ascii="Arial" w:cs="Arial" w:eastAsia="Arial" w:hAnsi="Arial"/>
                <w:sz w:val="14"/>
                <w:szCs w:val="14"/>
                <w:b w:val="1"/>
                <w:bCs w:val="1"/>
                <w:i w:val="1"/>
                <w:iCs w:val="1"/>
                <w:color w:val="auto"/>
              </w:rPr>
              <w:t>Name and</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Options -</w:t>
            </w:r>
          </w:p>
        </w:tc>
        <w:tc>
          <w:tcPr>
            <w:tcW w:w="420" w:type="dxa"/>
            <w:vAlign w:val="bottom"/>
          </w:tcPr>
          <w:p>
            <w:pPr>
              <w:spacing w:after="0"/>
              <w:rPr>
                <w:sz w:val="12"/>
                <w:szCs w:val="12"/>
                <w:color w:val="auto"/>
              </w:rPr>
            </w:pPr>
          </w:p>
        </w:tc>
        <w:tc>
          <w:tcPr>
            <w:tcW w:w="1120" w:type="dxa"/>
            <w:vAlign w:val="bottom"/>
          </w:tcPr>
          <w:p>
            <w:pPr>
              <w:jc w:val="right"/>
              <w:ind w:right="308"/>
              <w:spacing w:after="0" w:line="149" w:lineRule="exact"/>
              <w:rPr>
                <w:sz w:val="20"/>
                <w:szCs w:val="20"/>
                <w:color w:val="auto"/>
              </w:rPr>
            </w:pPr>
            <w:r>
              <w:rPr>
                <w:rFonts w:ascii="Arial" w:cs="Arial" w:eastAsia="Arial" w:hAnsi="Arial"/>
                <w:sz w:val="14"/>
                <w:szCs w:val="14"/>
                <w:b w:val="1"/>
                <w:bCs w:val="1"/>
                <w:i w:val="1"/>
                <w:iCs w:val="1"/>
                <w:color w:val="auto"/>
              </w:rPr>
              <w:t>Option</w:t>
            </w:r>
          </w:p>
        </w:tc>
        <w:tc>
          <w:tcPr>
            <w:tcW w:w="420" w:type="dxa"/>
            <w:vAlign w:val="bottom"/>
          </w:tcPr>
          <w:p>
            <w:pPr>
              <w:spacing w:after="0"/>
              <w:rPr>
                <w:sz w:val="12"/>
                <w:szCs w:val="12"/>
                <w:color w:val="auto"/>
              </w:rPr>
            </w:pPr>
          </w:p>
        </w:tc>
        <w:tc>
          <w:tcPr>
            <w:tcW w:w="1420" w:type="dxa"/>
            <w:vAlign w:val="bottom"/>
          </w:tcPr>
          <w:p>
            <w:pPr>
              <w:jc w:val="right"/>
              <w:ind w:right="468"/>
              <w:spacing w:after="0" w:line="149" w:lineRule="exact"/>
              <w:rPr>
                <w:sz w:val="20"/>
                <w:szCs w:val="20"/>
                <w:color w:val="auto"/>
              </w:rPr>
            </w:pPr>
            <w:r>
              <w:rPr>
                <w:rFonts w:ascii="Arial" w:cs="Arial" w:eastAsia="Arial" w:hAnsi="Arial"/>
                <w:sz w:val="14"/>
                <w:szCs w:val="14"/>
                <w:b w:val="1"/>
                <w:bCs w:val="1"/>
                <w:i w:val="1"/>
                <w:iCs w:val="1"/>
                <w:color w:val="auto"/>
              </w:rPr>
              <w:t>Option</w:t>
            </w:r>
          </w:p>
        </w:tc>
        <w:tc>
          <w:tcPr>
            <w:tcW w:w="400" w:type="dxa"/>
            <w:vAlign w:val="bottom"/>
          </w:tcPr>
          <w:p>
            <w:pPr>
              <w:spacing w:after="0"/>
              <w:rPr>
                <w:sz w:val="12"/>
                <w:szCs w:val="12"/>
                <w:color w:val="auto"/>
              </w:rPr>
            </w:pPr>
          </w:p>
        </w:tc>
        <w:tc>
          <w:tcPr>
            <w:tcW w:w="1180" w:type="dxa"/>
            <w:vAlign w:val="bottom"/>
          </w:tcPr>
          <w:p>
            <w:pPr>
              <w:jc w:val="center"/>
              <w:ind w:left="148"/>
              <w:spacing w:after="0" w:line="149" w:lineRule="exact"/>
              <w:rPr>
                <w:sz w:val="20"/>
                <w:szCs w:val="20"/>
                <w:color w:val="auto"/>
              </w:rPr>
            </w:pPr>
            <w:r>
              <w:rPr>
                <w:rFonts w:ascii="Arial" w:cs="Arial" w:eastAsia="Arial" w:hAnsi="Arial"/>
                <w:sz w:val="14"/>
                <w:szCs w:val="14"/>
                <w:b w:val="1"/>
                <w:bCs w:val="1"/>
                <w:i w:val="1"/>
                <w:iCs w:val="1"/>
                <w:color w:val="auto"/>
                <w:w w:val="93"/>
              </w:rPr>
              <w:t>That Have Not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3"/>
              </w:rPr>
              <w:t>That Have Not</w:t>
            </w:r>
          </w:p>
        </w:tc>
        <w:tc>
          <w:tcPr>
            <w:tcW w:w="140" w:type="dxa"/>
            <w:vAlign w:val="bottom"/>
          </w:tcPr>
          <w:p>
            <w:pPr>
              <w:spacing w:after="0"/>
              <w:rPr>
                <w:sz w:val="12"/>
                <w:szCs w:val="12"/>
                <w:color w:val="auto"/>
              </w:rPr>
            </w:pPr>
          </w:p>
        </w:tc>
      </w:tr>
      <w:tr>
        <w:trPr>
          <w:trHeight w:val="174"/>
        </w:trPr>
        <w:tc>
          <w:tcPr>
            <w:tcW w:w="24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i w:val="1"/>
                <w:iCs w:val="1"/>
                <w:color w:val="auto"/>
              </w:rPr>
              <w:t>Principal Position</w:t>
            </w:r>
          </w:p>
        </w:tc>
        <w:tc>
          <w:tcPr>
            <w:tcW w:w="2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Exercisable(#)</w:t>
            </w:r>
            <w:r>
              <w:rPr>
                <w:rFonts w:ascii="Arial" w:cs="Arial" w:eastAsia="Arial" w:hAnsi="Arial"/>
                <w:sz w:val="10"/>
                <w:szCs w:val="10"/>
                <w:b w:val="1"/>
                <w:bCs w:val="1"/>
                <w:i w:val="1"/>
                <w:iCs w:val="1"/>
                <w:color w:val="auto"/>
                <w:w w:val="91"/>
              </w:rPr>
              <w:t>(1)</w:t>
            </w:r>
          </w:p>
        </w:tc>
        <w:tc>
          <w:tcPr>
            <w:tcW w:w="420" w:type="dxa"/>
            <w:vAlign w:val="bottom"/>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i w:val="1"/>
                <w:iCs w:val="1"/>
                <w:color w:val="auto"/>
              </w:rPr>
              <w:t>Exercise Price</w:t>
            </w:r>
          </w:p>
        </w:tc>
        <w:tc>
          <w:tcPr>
            <w:tcW w:w="420" w:type="dxa"/>
            <w:vAlign w:val="bottom"/>
          </w:tcPr>
          <w:p>
            <w:pPr>
              <w:spacing w:after="0"/>
              <w:rPr>
                <w:sz w:val="15"/>
                <w:szCs w:val="15"/>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i w:val="1"/>
                <w:iCs w:val="1"/>
                <w:color w:val="auto"/>
              </w:rPr>
              <w:t>Expiration Date</w:t>
            </w:r>
          </w:p>
        </w:tc>
        <w:tc>
          <w:tcPr>
            <w:tcW w:w="400" w:type="dxa"/>
            <w:vAlign w:val="bottom"/>
          </w:tcPr>
          <w:p>
            <w:pPr>
              <w:spacing w:after="0"/>
              <w:rPr>
                <w:sz w:val="15"/>
                <w:szCs w:val="15"/>
                <w:color w:val="auto"/>
              </w:rPr>
            </w:pPr>
          </w:p>
        </w:tc>
        <w:tc>
          <w:tcPr>
            <w:tcW w:w="118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i w:val="1"/>
                <w:iCs w:val="1"/>
                <w:color w:val="auto"/>
                <w:w w:val="88"/>
              </w:rPr>
              <w:t>Vested(#)</w:t>
            </w:r>
          </w:p>
        </w:tc>
        <w:tc>
          <w:tcPr>
            <w:tcW w:w="2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i w:val="1"/>
                <w:iCs w:val="1"/>
                <w:color w:val="auto"/>
              </w:rPr>
              <w:t>Vested</w:t>
            </w:r>
            <w:r>
              <w:rPr>
                <w:rFonts w:ascii="Arial" w:cs="Arial" w:eastAsia="Arial" w:hAnsi="Arial"/>
                <w:sz w:val="10"/>
                <w:szCs w:val="10"/>
                <w:b w:val="1"/>
                <w:bCs w:val="1"/>
                <w:i w:val="1"/>
                <w:iCs w:val="1"/>
                <w:color w:val="auto"/>
              </w:rPr>
              <w:t>(2)</w:t>
            </w:r>
          </w:p>
        </w:tc>
        <w:tc>
          <w:tcPr>
            <w:tcW w:w="140" w:type="dxa"/>
            <w:vAlign w:val="bottom"/>
          </w:tcPr>
          <w:p>
            <w:pPr>
              <w:spacing w:after="0"/>
              <w:rPr>
                <w:sz w:val="15"/>
                <w:szCs w:val="15"/>
                <w:color w:val="auto"/>
              </w:rPr>
            </w:pPr>
          </w:p>
        </w:tc>
      </w:tr>
      <w:tr>
        <w:trPr>
          <w:trHeight w:val="278"/>
        </w:trPr>
        <w:tc>
          <w:tcPr>
            <w:tcW w:w="2700" w:type="dxa"/>
            <w:vAlign w:val="bottom"/>
            <w:gridSpan w:val="2"/>
          </w:tcPr>
          <w:p>
            <w:pPr>
              <w:spacing w:after="0"/>
              <w:rPr>
                <w:sz w:val="20"/>
                <w:szCs w:val="20"/>
                <w:color w:val="auto"/>
              </w:rPr>
            </w:pPr>
            <w:r>
              <w:rPr>
                <w:rFonts w:ascii="Arial" w:cs="Arial" w:eastAsia="Arial" w:hAnsi="Arial"/>
                <w:sz w:val="14"/>
                <w:szCs w:val="14"/>
                <w:color w:val="auto"/>
              </w:rPr>
              <w:t>M. Jay Allison</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135,000</w:t>
            </w:r>
          </w:p>
        </w:tc>
        <w:tc>
          <w:tcPr>
            <w:tcW w:w="1540" w:type="dxa"/>
            <w:vAlign w:val="bottom"/>
            <w:gridSpan w:val="2"/>
          </w:tcPr>
          <w:p>
            <w:pPr>
              <w:jc w:val="right"/>
              <w:ind w:right="48"/>
              <w:spacing w:after="0"/>
              <w:rPr>
                <w:sz w:val="20"/>
                <w:szCs w:val="20"/>
                <w:color w:val="auto"/>
              </w:rPr>
            </w:pPr>
            <w:r>
              <w:rPr>
                <w:rFonts w:ascii="Arial" w:cs="Arial" w:eastAsia="Arial" w:hAnsi="Arial"/>
                <w:sz w:val="14"/>
                <w:szCs w:val="14"/>
                <w:color w:val="auto"/>
              </w:rPr>
              <w:t>$6.42</w:t>
            </w:r>
          </w:p>
        </w:tc>
        <w:tc>
          <w:tcPr>
            <w:tcW w:w="4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July 1, 2010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185,000</w:t>
            </w:r>
            <w:r>
              <w:rPr>
                <w:rFonts w:ascii="Arial" w:cs="Arial" w:eastAsia="Arial" w:hAnsi="Arial"/>
                <w:sz w:val="10"/>
                <w:szCs w:val="10"/>
                <w:color w:val="auto"/>
              </w:rPr>
              <w:t>(3)</w:t>
            </w:r>
          </w:p>
        </w:tc>
        <w:tc>
          <w:tcPr>
            <w:tcW w:w="2080" w:type="dxa"/>
            <w:vAlign w:val="bottom"/>
            <w:gridSpan w:val="3"/>
          </w:tcPr>
          <w:p>
            <w:pPr>
              <w:jc w:val="right"/>
              <w:ind w:right="68"/>
              <w:spacing w:after="0"/>
              <w:rPr>
                <w:sz w:val="20"/>
                <w:szCs w:val="20"/>
                <w:color w:val="auto"/>
              </w:rPr>
            </w:pPr>
            <w:r>
              <w:rPr>
                <w:rFonts w:ascii="Arial" w:cs="Arial" w:eastAsia="Arial" w:hAnsi="Arial"/>
                <w:sz w:val="14"/>
                <w:szCs w:val="14"/>
                <w:color w:val="auto"/>
              </w:rPr>
              <w:t>$7,505,450</w:t>
            </w:r>
          </w:p>
        </w:tc>
        <w:tc>
          <w:tcPr>
            <w:tcW w:w="140" w:type="dxa"/>
            <w:vAlign w:val="bottom"/>
          </w:tcPr>
          <w:p>
            <w:pPr>
              <w:spacing w:after="0"/>
              <w:rPr>
                <w:sz w:val="24"/>
                <w:szCs w:val="24"/>
                <w:color w:val="auto"/>
              </w:rPr>
            </w:pPr>
          </w:p>
        </w:tc>
      </w:tr>
      <w:tr>
        <w:trPr>
          <w:trHeight w:val="149"/>
        </w:trPr>
        <w:tc>
          <w:tcPr>
            <w:tcW w:w="2700" w:type="dxa"/>
            <w:vAlign w:val="bottom"/>
            <w:gridSpan w:val="2"/>
          </w:tcPr>
          <w:p>
            <w:pPr>
              <w:ind w:left="220"/>
              <w:spacing w:after="0" w:line="149" w:lineRule="exact"/>
              <w:rPr>
                <w:sz w:val="20"/>
                <w:szCs w:val="20"/>
                <w:color w:val="auto"/>
              </w:rPr>
            </w:pPr>
            <w:r>
              <w:rPr>
                <w:rFonts w:ascii="Arial" w:cs="Arial" w:eastAsia="Arial" w:hAnsi="Arial"/>
                <w:sz w:val="14"/>
                <w:szCs w:val="14"/>
                <w:i w:val="1"/>
                <w:iCs w:val="1"/>
                <w:color w:val="auto"/>
              </w:rPr>
              <w:t>President and Chief</w:t>
            </w: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185,000</w:t>
            </w:r>
            <w:r>
              <w:rPr>
                <w:rFonts w:ascii="Arial" w:cs="Arial" w:eastAsia="Arial" w:hAnsi="Arial"/>
                <w:sz w:val="10"/>
                <w:szCs w:val="10"/>
                <w:color w:val="auto"/>
              </w:rPr>
              <w:t>(4)</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$7,505,450</w:t>
            </w:r>
          </w:p>
        </w:tc>
        <w:tc>
          <w:tcPr>
            <w:tcW w:w="140" w:type="dxa"/>
            <w:vAlign w:val="bottom"/>
          </w:tcPr>
          <w:p>
            <w:pPr>
              <w:spacing w:after="0"/>
              <w:rPr>
                <w:sz w:val="12"/>
                <w:szCs w:val="12"/>
                <w:color w:val="auto"/>
              </w:rPr>
            </w:pPr>
          </w:p>
        </w:tc>
      </w:tr>
      <w:tr>
        <w:trPr>
          <w:trHeight w:val="149"/>
        </w:trPr>
        <w:tc>
          <w:tcPr>
            <w:tcW w:w="2700" w:type="dxa"/>
            <w:vAlign w:val="bottom"/>
            <w:gridSpan w:val="2"/>
          </w:tcPr>
          <w:p>
            <w:pPr>
              <w:ind w:left="200"/>
              <w:spacing w:after="0" w:line="149" w:lineRule="exact"/>
              <w:rPr>
                <w:sz w:val="20"/>
                <w:szCs w:val="20"/>
                <w:color w:val="auto"/>
              </w:rPr>
            </w:pPr>
            <w:r>
              <w:rPr>
                <w:rFonts w:ascii="Arial" w:cs="Arial" w:eastAsia="Arial" w:hAnsi="Arial"/>
                <w:sz w:val="14"/>
                <w:szCs w:val="14"/>
                <w:i w:val="1"/>
                <w:iCs w:val="1"/>
                <w:color w:val="auto"/>
              </w:rPr>
              <w:t>Executive Officer</w:t>
            </w: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r>
              <w:rPr>
                <w:rFonts w:ascii="Arial" w:cs="Arial" w:eastAsia="Arial" w:hAnsi="Arial"/>
                <w:sz w:val="10"/>
                <w:szCs w:val="10"/>
                <w:color w:val="auto"/>
              </w:rPr>
              <w:t>(5)</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$8,114,000</w:t>
            </w:r>
          </w:p>
        </w:tc>
        <w:tc>
          <w:tcPr>
            <w:tcW w:w="1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r>
              <w:rPr>
                <w:rFonts w:ascii="Arial" w:cs="Arial" w:eastAsia="Arial" w:hAnsi="Arial"/>
                <w:sz w:val="10"/>
                <w:szCs w:val="10"/>
                <w:color w:val="auto"/>
              </w:rPr>
              <w:t>(6)</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$8,114,000</w:t>
            </w:r>
          </w:p>
        </w:tc>
        <w:tc>
          <w:tcPr>
            <w:tcW w:w="140" w:type="dxa"/>
            <w:vAlign w:val="bottom"/>
          </w:tcPr>
          <w:p>
            <w:pPr>
              <w:spacing w:after="0"/>
              <w:rPr>
                <w:sz w:val="12"/>
                <w:szCs w:val="12"/>
                <w:color w:val="auto"/>
              </w:rPr>
            </w:pPr>
          </w:p>
        </w:tc>
      </w:tr>
      <w:tr>
        <w:trPr>
          <w:trHeight w:val="174"/>
        </w:trPr>
        <w:tc>
          <w:tcPr>
            <w:tcW w:w="2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225,000</w:t>
            </w:r>
            <w:r>
              <w:rPr>
                <w:rFonts w:ascii="Arial" w:cs="Arial" w:eastAsia="Arial" w:hAnsi="Arial"/>
                <w:sz w:val="10"/>
                <w:szCs w:val="10"/>
                <w:color w:val="auto"/>
              </w:rPr>
              <w:t>(7)</w:t>
            </w:r>
          </w:p>
        </w:tc>
        <w:tc>
          <w:tcPr>
            <w:tcW w:w="20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$9,128,250</w:t>
            </w:r>
          </w:p>
        </w:tc>
        <w:tc>
          <w:tcPr>
            <w:tcW w:w="140" w:type="dxa"/>
            <w:vAlign w:val="bottom"/>
            <w:tcBorders>
              <w:bottom w:val="single" w:sz="8" w:color="auto"/>
            </w:tcBorders>
          </w:tcPr>
          <w:p>
            <w:pPr>
              <w:spacing w:after="0"/>
              <w:rPr>
                <w:sz w:val="15"/>
                <w:szCs w:val="15"/>
                <w:color w:val="auto"/>
              </w:rPr>
            </w:pPr>
          </w:p>
        </w:tc>
      </w:tr>
      <w:tr>
        <w:trPr>
          <w:trHeight w:val="278"/>
        </w:trPr>
        <w:tc>
          <w:tcPr>
            <w:tcW w:w="2700" w:type="dxa"/>
            <w:vAlign w:val="bottom"/>
            <w:gridSpan w:val="2"/>
          </w:tcPr>
          <w:p>
            <w:pPr>
              <w:spacing w:after="0"/>
              <w:rPr>
                <w:sz w:val="20"/>
                <w:szCs w:val="20"/>
                <w:color w:val="auto"/>
              </w:rPr>
            </w:pPr>
            <w:r>
              <w:rPr>
                <w:rFonts w:ascii="Arial" w:cs="Arial" w:eastAsia="Arial" w:hAnsi="Arial"/>
                <w:sz w:val="14"/>
                <w:szCs w:val="14"/>
                <w:color w:val="auto"/>
              </w:rPr>
              <w:t>Roland O. Burns</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33,750</w:t>
            </w:r>
          </w:p>
        </w:tc>
        <w:tc>
          <w:tcPr>
            <w:tcW w:w="1540" w:type="dxa"/>
            <w:vAlign w:val="bottom"/>
            <w:gridSpan w:val="2"/>
          </w:tcPr>
          <w:p>
            <w:pPr>
              <w:jc w:val="right"/>
              <w:ind w:right="48"/>
              <w:spacing w:after="0"/>
              <w:rPr>
                <w:sz w:val="20"/>
                <w:szCs w:val="20"/>
                <w:color w:val="auto"/>
              </w:rPr>
            </w:pPr>
            <w:r>
              <w:rPr>
                <w:rFonts w:ascii="Arial" w:cs="Arial" w:eastAsia="Arial" w:hAnsi="Arial"/>
                <w:sz w:val="14"/>
                <w:szCs w:val="14"/>
                <w:color w:val="auto"/>
              </w:rPr>
              <w:t>$6.42</w:t>
            </w:r>
          </w:p>
        </w:tc>
        <w:tc>
          <w:tcPr>
            <w:tcW w:w="4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July 1, 2010</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75,000</w:t>
            </w:r>
            <w:r>
              <w:rPr>
                <w:rFonts w:ascii="Arial" w:cs="Arial" w:eastAsia="Arial" w:hAnsi="Arial"/>
                <w:sz w:val="10"/>
                <w:szCs w:val="10"/>
                <w:color w:val="auto"/>
              </w:rPr>
              <w:t>(3)</w:t>
            </w:r>
          </w:p>
        </w:tc>
        <w:tc>
          <w:tcPr>
            <w:tcW w:w="2080" w:type="dxa"/>
            <w:vAlign w:val="bottom"/>
            <w:gridSpan w:val="3"/>
          </w:tcPr>
          <w:p>
            <w:pPr>
              <w:jc w:val="right"/>
              <w:ind w:right="68"/>
              <w:spacing w:after="0"/>
              <w:rPr>
                <w:sz w:val="20"/>
                <w:szCs w:val="20"/>
                <w:color w:val="auto"/>
              </w:rPr>
            </w:pPr>
            <w:r>
              <w:rPr>
                <w:rFonts w:ascii="Arial" w:cs="Arial" w:eastAsia="Arial" w:hAnsi="Arial"/>
                <w:sz w:val="14"/>
                <w:szCs w:val="14"/>
                <w:color w:val="auto"/>
              </w:rPr>
              <w:t>$3,042,750</w:t>
            </w:r>
          </w:p>
        </w:tc>
        <w:tc>
          <w:tcPr>
            <w:tcW w:w="140" w:type="dxa"/>
            <w:vAlign w:val="bottom"/>
          </w:tcPr>
          <w:p>
            <w:pPr>
              <w:spacing w:after="0"/>
              <w:rPr>
                <w:sz w:val="24"/>
                <w:szCs w:val="24"/>
                <w:color w:val="auto"/>
              </w:rPr>
            </w:pPr>
          </w:p>
        </w:tc>
      </w:tr>
      <w:tr>
        <w:trPr>
          <w:trHeight w:val="149"/>
        </w:trPr>
        <w:tc>
          <w:tcPr>
            <w:tcW w:w="2700" w:type="dxa"/>
            <w:vAlign w:val="bottom"/>
            <w:gridSpan w:val="2"/>
          </w:tcPr>
          <w:p>
            <w:pPr>
              <w:ind w:left="220"/>
              <w:spacing w:after="0" w:line="149" w:lineRule="exact"/>
              <w:rPr>
                <w:sz w:val="20"/>
                <w:szCs w:val="20"/>
                <w:color w:val="auto"/>
              </w:rPr>
            </w:pPr>
            <w:r>
              <w:rPr>
                <w:rFonts w:ascii="Arial" w:cs="Arial" w:eastAsia="Arial" w:hAnsi="Arial"/>
                <w:sz w:val="14"/>
                <w:szCs w:val="14"/>
                <w:i w:val="1"/>
                <w:iCs w:val="1"/>
                <w:color w:val="auto"/>
              </w:rPr>
              <w:t>Senior Vice President and</w:t>
            </w: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75,000</w:t>
            </w:r>
            <w:r>
              <w:rPr>
                <w:rFonts w:ascii="Arial" w:cs="Arial" w:eastAsia="Arial" w:hAnsi="Arial"/>
                <w:sz w:val="10"/>
                <w:szCs w:val="10"/>
                <w:color w:val="auto"/>
              </w:rPr>
              <w:t>(4)</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$3,042,750</w:t>
            </w:r>
          </w:p>
        </w:tc>
        <w:tc>
          <w:tcPr>
            <w:tcW w:w="140" w:type="dxa"/>
            <w:vAlign w:val="bottom"/>
          </w:tcPr>
          <w:p>
            <w:pPr>
              <w:spacing w:after="0"/>
              <w:rPr>
                <w:sz w:val="12"/>
                <w:szCs w:val="12"/>
                <w:color w:val="auto"/>
              </w:rPr>
            </w:pPr>
          </w:p>
        </w:tc>
      </w:tr>
      <w:tr>
        <w:trPr>
          <w:trHeight w:val="149"/>
        </w:trPr>
        <w:tc>
          <w:tcPr>
            <w:tcW w:w="2700" w:type="dxa"/>
            <w:vAlign w:val="bottom"/>
            <w:gridSpan w:val="2"/>
          </w:tcPr>
          <w:p>
            <w:pPr>
              <w:ind w:left="220"/>
              <w:spacing w:after="0" w:line="149" w:lineRule="exact"/>
              <w:rPr>
                <w:sz w:val="20"/>
                <w:szCs w:val="20"/>
                <w:color w:val="auto"/>
              </w:rPr>
            </w:pPr>
            <w:r>
              <w:rPr>
                <w:rFonts w:ascii="Arial" w:cs="Arial" w:eastAsia="Arial" w:hAnsi="Arial"/>
                <w:sz w:val="14"/>
                <w:szCs w:val="14"/>
                <w:i w:val="1"/>
                <w:iCs w:val="1"/>
                <w:color w:val="auto"/>
              </w:rPr>
              <w:t>Chief Financial Officer</w:t>
            </w: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81,000</w:t>
            </w:r>
            <w:r>
              <w:rPr>
                <w:rFonts w:ascii="Arial" w:cs="Arial" w:eastAsia="Arial" w:hAnsi="Arial"/>
                <w:sz w:val="10"/>
                <w:szCs w:val="10"/>
                <w:color w:val="auto"/>
              </w:rPr>
              <w:t>(5)</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$3,286,170</w:t>
            </w:r>
          </w:p>
        </w:tc>
        <w:tc>
          <w:tcPr>
            <w:tcW w:w="1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81,000</w:t>
            </w:r>
            <w:r>
              <w:rPr>
                <w:rFonts w:ascii="Arial" w:cs="Arial" w:eastAsia="Arial" w:hAnsi="Arial"/>
                <w:sz w:val="10"/>
                <w:szCs w:val="10"/>
                <w:color w:val="auto"/>
              </w:rPr>
              <w:t>(6)</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$3,286,170</w:t>
            </w:r>
          </w:p>
        </w:tc>
        <w:tc>
          <w:tcPr>
            <w:tcW w:w="140" w:type="dxa"/>
            <w:vAlign w:val="bottom"/>
          </w:tcPr>
          <w:p>
            <w:pPr>
              <w:spacing w:after="0"/>
              <w:rPr>
                <w:sz w:val="12"/>
                <w:szCs w:val="12"/>
                <w:color w:val="auto"/>
              </w:rPr>
            </w:pPr>
          </w:p>
        </w:tc>
      </w:tr>
      <w:tr>
        <w:trPr>
          <w:trHeight w:val="174"/>
        </w:trPr>
        <w:tc>
          <w:tcPr>
            <w:tcW w:w="2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90,000</w:t>
            </w:r>
            <w:r>
              <w:rPr>
                <w:rFonts w:ascii="Arial" w:cs="Arial" w:eastAsia="Arial" w:hAnsi="Arial"/>
                <w:sz w:val="10"/>
                <w:szCs w:val="10"/>
                <w:color w:val="auto"/>
              </w:rPr>
              <w:t>(7)</w:t>
            </w:r>
          </w:p>
        </w:tc>
        <w:tc>
          <w:tcPr>
            <w:tcW w:w="20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$3,651,300</w:t>
            </w:r>
          </w:p>
        </w:tc>
        <w:tc>
          <w:tcPr>
            <w:tcW w:w="140" w:type="dxa"/>
            <w:vAlign w:val="bottom"/>
            <w:tcBorders>
              <w:bottom w:val="single" w:sz="8" w:color="auto"/>
            </w:tcBorders>
          </w:tcPr>
          <w:p>
            <w:pPr>
              <w:spacing w:after="0"/>
              <w:rPr>
                <w:sz w:val="15"/>
                <w:szCs w:val="15"/>
                <w:color w:val="auto"/>
              </w:rPr>
            </w:pPr>
          </w:p>
        </w:tc>
      </w:tr>
      <w:tr>
        <w:trPr>
          <w:trHeight w:val="278"/>
        </w:trPr>
        <w:tc>
          <w:tcPr>
            <w:tcW w:w="2700" w:type="dxa"/>
            <w:vAlign w:val="bottom"/>
            <w:gridSpan w:val="2"/>
          </w:tcPr>
          <w:p>
            <w:pPr>
              <w:spacing w:after="0"/>
              <w:rPr>
                <w:sz w:val="20"/>
                <w:szCs w:val="20"/>
                <w:color w:val="auto"/>
              </w:rPr>
            </w:pPr>
            <w:r>
              <w:rPr>
                <w:rFonts w:ascii="Arial" w:cs="Arial" w:eastAsia="Arial" w:hAnsi="Arial"/>
                <w:sz w:val="14"/>
                <w:szCs w:val="14"/>
                <w:color w:val="auto"/>
              </w:rPr>
              <w:t>Mack D. Good</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30,000</w:t>
            </w:r>
            <w:r>
              <w:rPr>
                <w:rFonts w:ascii="Arial" w:cs="Arial" w:eastAsia="Arial" w:hAnsi="Arial"/>
                <w:sz w:val="10"/>
                <w:szCs w:val="10"/>
                <w:color w:val="auto"/>
              </w:rPr>
              <w:t>(3)</w:t>
            </w:r>
          </w:p>
        </w:tc>
        <w:tc>
          <w:tcPr>
            <w:tcW w:w="2080" w:type="dxa"/>
            <w:vAlign w:val="bottom"/>
            <w:gridSpan w:val="3"/>
          </w:tcPr>
          <w:p>
            <w:pPr>
              <w:jc w:val="right"/>
              <w:ind w:right="68"/>
              <w:spacing w:after="0"/>
              <w:rPr>
                <w:sz w:val="20"/>
                <w:szCs w:val="20"/>
                <w:color w:val="auto"/>
              </w:rPr>
            </w:pPr>
            <w:r>
              <w:rPr>
                <w:rFonts w:ascii="Arial" w:cs="Arial" w:eastAsia="Arial" w:hAnsi="Arial"/>
                <w:sz w:val="14"/>
                <w:szCs w:val="14"/>
                <w:color w:val="auto"/>
              </w:rPr>
              <w:t>$1,217,100</w:t>
            </w:r>
          </w:p>
        </w:tc>
        <w:tc>
          <w:tcPr>
            <w:tcW w:w="140" w:type="dxa"/>
            <w:vAlign w:val="bottom"/>
          </w:tcPr>
          <w:p>
            <w:pPr>
              <w:spacing w:after="0"/>
              <w:rPr>
                <w:sz w:val="24"/>
                <w:szCs w:val="24"/>
                <w:color w:val="auto"/>
              </w:rPr>
            </w:pPr>
          </w:p>
        </w:tc>
      </w:tr>
      <w:tr>
        <w:trPr>
          <w:trHeight w:val="149"/>
        </w:trPr>
        <w:tc>
          <w:tcPr>
            <w:tcW w:w="2700" w:type="dxa"/>
            <w:vAlign w:val="bottom"/>
            <w:gridSpan w:val="2"/>
          </w:tcPr>
          <w:p>
            <w:pPr>
              <w:ind w:left="220"/>
              <w:spacing w:after="0" w:line="149" w:lineRule="exact"/>
              <w:rPr>
                <w:sz w:val="20"/>
                <w:szCs w:val="20"/>
                <w:color w:val="auto"/>
              </w:rPr>
            </w:pPr>
            <w:r>
              <w:rPr>
                <w:rFonts w:ascii="Arial" w:cs="Arial" w:eastAsia="Arial" w:hAnsi="Arial"/>
                <w:sz w:val="14"/>
                <w:szCs w:val="14"/>
                <w:i w:val="1"/>
                <w:iCs w:val="1"/>
                <w:color w:val="auto"/>
              </w:rPr>
              <w:t>Chief Operating Officer</w:t>
            </w: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w:t>
            </w:r>
            <w:r>
              <w:rPr>
                <w:rFonts w:ascii="Arial" w:cs="Arial" w:eastAsia="Arial" w:hAnsi="Arial"/>
                <w:sz w:val="10"/>
                <w:szCs w:val="10"/>
                <w:color w:val="auto"/>
              </w:rPr>
              <w:t>(4)</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$811,400</w:t>
            </w:r>
          </w:p>
        </w:tc>
        <w:tc>
          <w:tcPr>
            <w:tcW w:w="1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w:t>
            </w:r>
            <w:r>
              <w:rPr>
                <w:rFonts w:ascii="Arial" w:cs="Arial" w:eastAsia="Arial" w:hAnsi="Arial"/>
                <w:sz w:val="10"/>
                <w:szCs w:val="10"/>
                <w:color w:val="auto"/>
              </w:rPr>
              <w:t>(5)</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$1,217,100</w:t>
            </w:r>
          </w:p>
        </w:tc>
        <w:tc>
          <w:tcPr>
            <w:tcW w:w="1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30,000</w:t>
            </w:r>
            <w:r>
              <w:rPr>
                <w:rFonts w:ascii="Arial" w:cs="Arial" w:eastAsia="Arial" w:hAnsi="Arial"/>
                <w:sz w:val="10"/>
                <w:szCs w:val="10"/>
                <w:color w:val="auto"/>
              </w:rPr>
              <w:t>(6)</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$1,217,100</w:t>
            </w:r>
          </w:p>
        </w:tc>
        <w:tc>
          <w:tcPr>
            <w:tcW w:w="140" w:type="dxa"/>
            <w:vAlign w:val="bottom"/>
          </w:tcPr>
          <w:p>
            <w:pPr>
              <w:spacing w:after="0"/>
              <w:rPr>
                <w:sz w:val="12"/>
                <w:szCs w:val="12"/>
                <w:color w:val="auto"/>
              </w:rPr>
            </w:pPr>
          </w:p>
        </w:tc>
      </w:tr>
      <w:tr>
        <w:trPr>
          <w:trHeight w:val="174"/>
        </w:trPr>
        <w:tc>
          <w:tcPr>
            <w:tcW w:w="2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33,000</w:t>
            </w:r>
            <w:r>
              <w:rPr>
                <w:rFonts w:ascii="Arial" w:cs="Arial" w:eastAsia="Arial" w:hAnsi="Arial"/>
                <w:sz w:val="10"/>
                <w:szCs w:val="10"/>
                <w:color w:val="auto"/>
              </w:rPr>
              <w:t>(7)</w:t>
            </w:r>
          </w:p>
        </w:tc>
        <w:tc>
          <w:tcPr>
            <w:tcW w:w="20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$1,338,810</w:t>
            </w:r>
          </w:p>
        </w:tc>
        <w:tc>
          <w:tcPr>
            <w:tcW w:w="140" w:type="dxa"/>
            <w:vAlign w:val="bottom"/>
            <w:tcBorders>
              <w:bottom w:val="single" w:sz="8" w:color="auto"/>
            </w:tcBorders>
          </w:tcPr>
          <w:p>
            <w:pPr>
              <w:spacing w:after="0"/>
              <w:rPr>
                <w:sz w:val="15"/>
                <w:szCs w:val="15"/>
                <w:color w:val="auto"/>
              </w:rPr>
            </w:pPr>
          </w:p>
        </w:tc>
      </w:tr>
      <w:tr>
        <w:trPr>
          <w:trHeight w:val="346"/>
        </w:trPr>
        <w:tc>
          <w:tcPr>
            <w:tcW w:w="2700" w:type="dxa"/>
            <w:vAlign w:val="bottom"/>
            <w:gridSpan w:val="2"/>
          </w:tcPr>
          <w:p>
            <w:pPr>
              <w:spacing w:after="0"/>
              <w:rPr>
                <w:sz w:val="20"/>
                <w:szCs w:val="20"/>
                <w:color w:val="auto"/>
              </w:rPr>
            </w:pPr>
            <w:r>
              <w:rPr>
                <w:rFonts w:ascii="Arial" w:cs="Arial" w:eastAsia="Arial" w:hAnsi="Arial"/>
                <w:sz w:val="14"/>
                <w:szCs w:val="14"/>
                <w:color w:val="auto"/>
              </w:rPr>
              <w:t>D. Dale Gillette</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10,000</w:t>
            </w:r>
            <w:r>
              <w:rPr>
                <w:rFonts w:ascii="Arial" w:cs="Arial" w:eastAsia="Arial" w:hAnsi="Arial"/>
                <w:sz w:val="10"/>
                <w:szCs w:val="10"/>
                <w:color w:val="auto"/>
              </w:rPr>
              <w:t>(3)</w:t>
            </w:r>
          </w:p>
        </w:tc>
        <w:tc>
          <w:tcPr>
            <w:tcW w:w="2080" w:type="dxa"/>
            <w:vAlign w:val="bottom"/>
            <w:gridSpan w:val="3"/>
          </w:tcPr>
          <w:p>
            <w:pPr>
              <w:jc w:val="right"/>
              <w:ind w:right="68"/>
              <w:spacing w:after="0"/>
              <w:rPr>
                <w:sz w:val="20"/>
                <w:szCs w:val="20"/>
                <w:color w:val="auto"/>
              </w:rPr>
            </w:pPr>
            <w:r>
              <w:rPr>
                <w:rFonts w:ascii="Arial" w:cs="Arial" w:eastAsia="Arial" w:hAnsi="Arial"/>
                <w:sz w:val="14"/>
                <w:szCs w:val="14"/>
                <w:color w:val="auto"/>
              </w:rPr>
              <w:t>$405,700</w:t>
            </w:r>
          </w:p>
        </w:tc>
        <w:tc>
          <w:tcPr>
            <w:tcW w:w="140" w:type="dxa"/>
            <w:vAlign w:val="bottom"/>
          </w:tcPr>
          <w:p>
            <w:pPr>
              <w:spacing w:after="0"/>
              <w:rPr>
                <w:sz w:val="24"/>
                <w:szCs w:val="24"/>
                <w:color w:val="auto"/>
              </w:rPr>
            </w:pPr>
          </w:p>
        </w:tc>
      </w:tr>
      <w:tr>
        <w:trPr>
          <w:trHeight w:val="149"/>
        </w:trPr>
        <w:tc>
          <w:tcPr>
            <w:tcW w:w="2700" w:type="dxa"/>
            <w:vAlign w:val="bottom"/>
            <w:gridSpan w:val="2"/>
          </w:tcPr>
          <w:p>
            <w:pPr>
              <w:ind w:left="220"/>
              <w:spacing w:after="0" w:line="149" w:lineRule="exact"/>
              <w:rPr>
                <w:sz w:val="20"/>
                <w:szCs w:val="20"/>
                <w:color w:val="auto"/>
              </w:rPr>
            </w:pPr>
            <w:r>
              <w:rPr>
                <w:rFonts w:ascii="Arial" w:cs="Arial" w:eastAsia="Arial" w:hAnsi="Arial"/>
                <w:sz w:val="14"/>
                <w:szCs w:val="14"/>
                <w:i w:val="1"/>
                <w:iCs w:val="1"/>
                <w:color w:val="auto"/>
              </w:rPr>
              <w:t>Vice President of Land</w:t>
            </w: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r>
              <w:rPr>
                <w:rFonts w:ascii="Arial" w:cs="Arial" w:eastAsia="Arial" w:hAnsi="Arial"/>
                <w:sz w:val="10"/>
                <w:szCs w:val="10"/>
                <w:color w:val="auto"/>
              </w:rPr>
              <w:t>(4)</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$405,700</w:t>
            </w:r>
          </w:p>
        </w:tc>
        <w:tc>
          <w:tcPr>
            <w:tcW w:w="140" w:type="dxa"/>
            <w:vAlign w:val="bottom"/>
          </w:tcPr>
          <w:p>
            <w:pPr>
              <w:spacing w:after="0"/>
              <w:rPr>
                <w:sz w:val="12"/>
                <w:szCs w:val="12"/>
                <w:color w:val="auto"/>
              </w:rPr>
            </w:pPr>
          </w:p>
        </w:tc>
      </w:tr>
      <w:tr>
        <w:trPr>
          <w:trHeight w:val="149"/>
        </w:trPr>
        <w:tc>
          <w:tcPr>
            <w:tcW w:w="2700" w:type="dxa"/>
            <w:vAlign w:val="bottom"/>
            <w:gridSpan w:val="2"/>
          </w:tcPr>
          <w:p>
            <w:pPr>
              <w:ind w:left="220"/>
              <w:spacing w:after="0" w:line="149" w:lineRule="exact"/>
              <w:rPr>
                <w:sz w:val="20"/>
                <w:szCs w:val="20"/>
                <w:color w:val="auto"/>
              </w:rPr>
            </w:pPr>
            <w:r>
              <w:rPr>
                <w:rFonts w:ascii="Arial" w:cs="Arial" w:eastAsia="Arial" w:hAnsi="Arial"/>
                <w:sz w:val="14"/>
                <w:szCs w:val="14"/>
                <w:i w:val="1"/>
                <w:iCs w:val="1"/>
                <w:color w:val="auto"/>
              </w:rPr>
              <w:t>and General Counsel</w:t>
            </w: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r>
              <w:rPr>
                <w:rFonts w:ascii="Arial" w:cs="Arial" w:eastAsia="Arial" w:hAnsi="Arial"/>
                <w:sz w:val="10"/>
                <w:szCs w:val="10"/>
                <w:color w:val="auto"/>
              </w:rPr>
              <w:t>(5)</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$405,700</w:t>
            </w:r>
          </w:p>
        </w:tc>
        <w:tc>
          <w:tcPr>
            <w:tcW w:w="1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r>
              <w:rPr>
                <w:rFonts w:ascii="Arial" w:cs="Arial" w:eastAsia="Arial" w:hAnsi="Arial"/>
                <w:sz w:val="10"/>
                <w:szCs w:val="10"/>
                <w:color w:val="auto"/>
              </w:rPr>
              <w:t>(6)</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$405,700</w:t>
            </w:r>
          </w:p>
        </w:tc>
        <w:tc>
          <w:tcPr>
            <w:tcW w:w="140" w:type="dxa"/>
            <w:vAlign w:val="bottom"/>
          </w:tcPr>
          <w:p>
            <w:pPr>
              <w:spacing w:after="0"/>
              <w:rPr>
                <w:sz w:val="12"/>
                <w:szCs w:val="12"/>
                <w:color w:val="auto"/>
              </w:rPr>
            </w:pPr>
          </w:p>
        </w:tc>
      </w:tr>
      <w:tr>
        <w:trPr>
          <w:trHeight w:val="174"/>
        </w:trPr>
        <w:tc>
          <w:tcPr>
            <w:tcW w:w="2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11,000</w:t>
            </w:r>
            <w:r>
              <w:rPr>
                <w:rFonts w:ascii="Arial" w:cs="Arial" w:eastAsia="Arial" w:hAnsi="Arial"/>
                <w:sz w:val="10"/>
                <w:szCs w:val="10"/>
                <w:color w:val="auto"/>
              </w:rPr>
              <w:t>(7)</w:t>
            </w:r>
          </w:p>
        </w:tc>
        <w:tc>
          <w:tcPr>
            <w:tcW w:w="20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$446,270</w:t>
            </w:r>
          </w:p>
        </w:tc>
        <w:tc>
          <w:tcPr>
            <w:tcW w:w="140" w:type="dxa"/>
            <w:vAlign w:val="bottom"/>
            <w:tcBorders>
              <w:bottom w:val="single" w:sz="8" w:color="auto"/>
            </w:tcBorders>
          </w:tcPr>
          <w:p>
            <w:pPr>
              <w:spacing w:after="0"/>
              <w:rPr>
                <w:sz w:val="15"/>
                <w:szCs w:val="15"/>
                <w:color w:val="auto"/>
              </w:rPr>
            </w:pPr>
          </w:p>
        </w:tc>
      </w:tr>
      <w:tr>
        <w:trPr>
          <w:trHeight w:val="278"/>
        </w:trPr>
        <w:tc>
          <w:tcPr>
            <w:tcW w:w="2700" w:type="dxa"/>
            <w:vAlign w:val="bottom"/>
            <w:gridSpan w:val="2"/>
          </w:tcPr>
          <w:p>
            <w:pPr>
              <w:spacing w:after="0"/>
              <w:rPr>
                <w:sz w:val="20"/>
                <w:szCs w:val="20"/>
                <w:color w:val="auto"/>
              </w:rPr>
            </w:pPr>
            <w:r>
              <w:rPr>
                <w:rFonts w:ascii="Arial" w:cs="Arial" w:eastAsia="Arial" w:hAnsi="Arial"/>
                <w:sz w:val="14"/>
                <w:szCs w:val="14"/>
                <w:color w:val="auto"/>
              </w:rPr>
              <w:t>Stephen E. Neukom</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8,500</w:t>
            </w:r>
            <w:r>
              <w:rPr>
                <w:rFonts w:ascii="Arial" w:cs="Arial" w:eastAsia="Arial" w:hAnsi="Arial"/>
                <w:sz w:val="10"/>
                <w:szCs w:val="10"/>
                <w:color w:val="auto"/>
              </w:rPr>
              <w:t>(3)</w:t>
            </w:r>
          </w:p>
        </w:tc>
        <w:tc>
          <w:tcPr>
            <w:tcW w:w="2080" w:type="dxa"/>
            <w:vAlign w:val="bottom"/>
            <w:gridSpan w:val="3"/>
          </w:tcPr>
          <w:p>
            <w:pPr>
              <w:jc w:val="right"/>
              <w:ind w:right="68"/>
              <w:spacing w:after="0"/>
              <w:rPr>
                <w:sz w:val="20"/>
                <w:szCs w:val="20"/>
                <w:color w:val="auto"/>
              </w:rPr>
            </w:pPr>
            <w:r>
              <w:rPr>
                <w:rFonts w:ascii="Arial" w:cs="Arial" w:eastAsia="Arial" w:hAnsi="Arial"/>
                <w:sz w:val="14"/>
                <w:szCs w:val="14"/>
                <w:color w:val="auto"/>
              </w:rPr>
              <w:t>$344,845</w:t>
            </w:r>
          </w:p>
        </w:tc>
        <w:tc>
          <w:tcPr>
            <w:tcW w:w="140" w:type="dxa"/>
            <w:vAlign w:val="bottom"/>
          </w:tcPr>
          <w:p>
            <w:pPr>
              <w:spacing w:after="0"/>
              <w:rPr>
                <w:sz w:val="24"/>
                <w:szCs w:val="24"/>
                <w:color w:val="auto"/>
              </w:rPr>
            </w:pPr>
          </w:p>
        </w:tc>
      </w:tr>
      <w:tr>
        <w:trPr>
          <w:trHeight w:val="149"/>
        </w:trPr>
        <w:tc>
          <w:tcPr>
            <w:tcW w:w="2700" w:type="dxa"/>
            <w:vAlign w:val="bottom"/>
            <w:gridSpan w:val="2"/>
          </w:tcPr>
          <w:p>
            <w:pPr>
              <w:ind w:left="220"/>
              <w:spacing w:after="0" w:line="149" w:lineRule="exact"/>
              <w:rPr>
                <w:sz w:val="20"/>
                <w:szCs w:val="20"/>
                <w:color w:val="auto"/>
              </w:rPr>
            </w:pPr>
            <w:r>
              <w:rPr>
                <w:rFonts w:ascii="Arial" w:cs="Arial" w:eastAsia="Arial" w:hAnsi="Arial"/>
                <w:sz w:val="14"/>
                <w:szCs w:val="14"/>
                <w:i w:val="1"/>
                <w:iCs w:val="1"/>
                <w:color w:val="auto"/>
              </w:rPr>
              <w:t>Vice President of</w:t>
            </w: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w:t>
            </w:r>
            <w:r>
              <w:rPr>
                <w:rFonts w:ascii="Arial" w:cs="Arial" w:eastAsia="Arial" w:hAnsi="Arial"/>
                <w:sz w:val="10"/>
                <w:szCs w:val="10"/>
                <w:color w:val="auto"/>
              </w:rPr>
              <w:t>(4)</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$344,845</w:t>
            </w:r>
          </w:p>
        </w:tc>
        <w:tc>
          <w:tcPr>
            <w:tcW w:w="140" w:type="dxa"/>
            <w:vAlign w:val="bottom"/>
          </w:tcPr>
          <w:p>
            <w:pPr>
              <w:spacing w:after="0"/>
              <w:rPr>
                <w:sz w:val="12"/>
                <w:szCs w:val="12"/>
                <w:color w:val="auto"/>
              </w:rPr>
            </w:pPr>
          </w:p>
        </w:tc>
      </w:tr>
      <w:tr>
        <w:trPr>
          <w:trHeight w:val="149"/>
        </w:trPr>
        <w:tc>
          <w:tcPr>
            <w:tcW w:w="2700" w:type="dxa"/>
            <w:vAlign w:val="bottom"/>
            <w:gridSpan w:val="2"/>
          </w:tcPr>
          <w:p>
            <w:pPr>
              <w:ind w:left="220"/>
              <w:spacing w:after="0" w:line="149" w:lineRule="exact"/>
              <w:rPr>
                <w:sz w:val="20"/>
                <w:szCs w:val="20"/>
                <w:color w:val="auto"/>
              </w:rPr>
            </w:pPr>
            <w:r>
              <w:rPr>
                <w:rFonts w:ascii="Arial" w:cs="Arial" w:eastAsia="Arial" w:hAnsi="Arial"/>
                <w:sz w:val="14"/>
                <w:szCs w:val="14"/>
                <w:i w:val="1"/>
                <w:iCs w:val="1"/>
                <w:color w:val="auto"/>
              </w:rPr>
              <w:t>Marketing</w:t>
            </w: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9,000</w:t>
            </w:r>
            <w:r>
              <w:rPr>
                <w:rFonts w:ascii="Arial" w:cs="Arial" w:eastAsia="Arial" w:hAnsi="Arial"/>
                <w:sz w:val="10"/>
                <w:szCs w:val="10"/>
                <w:color w:val="auto"/>
              </w:rPr>
              <w:t>(5)</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$365,130</w:t>
            </w:r>
          </w:p>
        </w:tc>
        <w:tc>
          <w:tcPr>
            <w:tcW w:w="140" w:type="dxa"/>
            <w:vAlign w:val="bottom"/>
          </w:tcPr>
          <w:p>
            <w:pPr>
              <w:spacing w:after="0"/>
              <w:rPr>
                <w:sz w:val="12"/>
                <w:szCs w:val="12"/>
                <w:color w:val="auto"/>
              </w:rPr>
            </w:pPr>
          </w:p>
        </w:tc>
      </w:tr>
      <w:tr>
        <w:trPr>
          <w:trHeight w:val="149"/>
        </w:trPr>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9,000</w:t>
            </w:r>
            <w:r>
              <w:rPr>
                <w:rFonts w:ascii="Arial" w:cs="Arial" w:eastAsia="Arial" w:hAnsi="Arial"/>
                <w:sz w:val="10"/>
                <w:szCs w:val="10"/>
                <w:color w:val="auto"/>
              </w:rPr>
              <w:t>(6)</w:t>
            </w:r>
          </w:p>
        </w:tc>
        <w:tc>
          <w:tcPr>
            <w:tcW w:w="20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$365,130</w:t>
            </w:r>
          </w:p>
        </w:tc>
        <w:tc>
          <w:tcPr>
            <w:tcW w:w="140" w:type="dxa"/>
            <w:vAlign w:val="bottom"/>
          </w:tcPr>
          <w:p>
            <w:pPr>
              <w:spacing w:after="0"/>
              <w:rPr>
                <w:sz w:val="12"/>
                <w:szCs w:val="12"/>
                <w:color w:val="auto"/>
              </w:rPr>
            </w:pPr>
          </w:p>
        </w:tc>
      </w:tr>
      <w:tr>
        <w:trPr>
          <w:trHeight w:val="174"/>
        </w:trPr>
        <w:tc>
          <w:tcPr>
            <w:tcW w:w="2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10,000</w:t>
            </w:r>
            <w:r>
              <w:rPr>
                <w:rFonts w:ascii="Arial" w:cs="Arial" w:eastAsia="Arial" w:hAnsi="Arial"/>
                <w:sz w:val="10"/>
                <w:szCs w:val="10"/>
                <w:color w:val="auto"/>
              </w:rPr>
              <w:t>(7)</w:t>
            </w:r>
          </w:p>
        </w:tc>
        <w:tc>
          <w:tcPr>
            <w:tcW w:w="20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$405,700</w:t>
            </w:r>
          </w:p>
        </w:tc>
        <w:tc>
          <w:tcPr>
            <w:tcW w:w="140" w:type="dxa"/>
            <w:vAlign w:val="bottom"/>
          </w:tcPr>
          <w:p>
            <w:pPr>
              <w:spacing w:after="0"/>
              <w:rPr>
                <w:sz w:val="15"/>
                <w:szCs w:val="15"/>
                <w:color w:val="auto"/>
              </w:rPr>
            </w:pPr>
          </w:p>
        </w:tc>
      </w:tr>
    </w:tbl>
    <w:p>
      <w:pPr>
        <w:spacing w:after="0" w:line="22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All stock options are fully vested as of December 31, 2009.</w:t>
      </w:r>
    </w:p>
    <w:p>
      <w:pPr>
        <w:ind w:left="340" w:hanging="332"/>
        <w:spacing w:after="0" w:line="216"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Market value was based on the closing price for our common stock on the last trading day of 2009 of $40.57 per share.</w:t>
      </w:r>
    </w:p>
    <w:p>
      <w:pPr>
        <w:ind w:left="340" w:hanging="332"/>
        <w:spacing w:after="0" w:line="216"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stock grants vested on January 1, 2010.</w:t>
      </w:r>
    </w:p>
    <w:p>
      <w:pPr>
        <w:ind w:left="340" w:hanging="332"/>
        <w:spacing w:after="0" w:line="216"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stock grants will vest on January 1, 2011.</w:t>
      </w:r>
    </w:p>
    <w:p>
      <w:pPr>
        <w:ind w:left="340" w:hanging="332"/>
        <w:spacing w:after="0" w:line="216"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stock grants will vest on January 1, 2012.</w:t>
      </w:r>
    </w:p>
    <w:p>
      <w:pPr>
        <w:ind w:left="340" w:hanging="332"/>
        <w:spacing w:after="0" w:line="216"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stock grants will vest on January 1, 2013.</w:t>
      </w:r>
    </w:p>
    <w:p>
      <w:pPr>
        <w:ind w:left="340" w:hanging="332"/>
        <w:spacing w:after="0" w:line="216"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stock grants will vest on January 1, 2014.</w:t>
      </w: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These stock grants will vest on September 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Option Exercises and Stock Vested in 2009. </w:t>
      </w:r>
      <w:r>
        <w:rPr>
          <w:rFonts w:ascii="Arial" w:cs="Arial" w:eastAsia="Arial" w:hAnsi="Arial"/>
          <w:sz w:val="18"/>
          <w:szCs w:val="18"/>
          <w:color w:val="auto"/>
        </w:rPr>
        <w:t>The following table sets forth certain information with respect to the value of stock options exercised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shares which vested during the year ended December 31, 2009.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gridSpan w:val="3"/>
          </w:tcPr>
          <w:p>
            <w:pPr>
              <w:ind w:left="1160"/>
              <w:spacing w:after="0"/>
              <w:rPr>
                <w:sz w:val="20"/>
                <w:szCs w:val="20"/>
                <w:color w:val="auto"/>
              </w:rPr>
            </w:pPr>
            <w:r>
              <w:rPr>
                <w:rFonts w:ascii="Arial" w:cs="Arial" w:eastAsia="Arial" w:hAnsi="Arial"/>
                <w:sz w:val="14"/>
                <w:szCs w:val="14"/>
                <w:b w:val="1"/>
                <w:bCs w:val="1"/>
                <w:i w:val="1"/>
                <w:iCs w:val="1"/>
                <w:color w:val="auto"/>
              </w:rPr>
              <w:t>Stock Option Awards</w:t>
            </w:r>
          </w:p>
        </w:tc>
        <w:tc>
          <w:tcPr>
            <w:tcW w:w="420" w:type="dxa"/>
            <w:vAlign w:val="bottom"/>
          </w:tcPr>
          <w:p>
            <w:pPr>
              <w:spacing w:after="0"/>
              <w:rPr>
                <w:sz w:val="15"/>
                <w:szCs w:val="15"/>
                <w:color w:val="auto"/>
              </w:rPr>
            </w:pPr>
          </w:p>
        </w:tc>
        <w:tc>
          <w:tcPr>
            <w:tcW w:w="2340" w:type="dxa"/>
            <w:vAlign w:val="bottom"/>
            <w:gridSpan w:val="3"/>
          </w:tcPr>
          <w:p>
            <w:pPr>
              <w:ind w:left="1440"/>
              <w:spacing w:after="0"/>
              <w:rPr>
                <w:sz w:val="20"/>
                <w:szCs w:val="20"/>
                <w:color w:val="auto"/>
              </w:rPr>
            </w:pPr>
            <w:r>
              <w:rPr>
                <w:rFonts w:ascii="Arial" w:cs="Arial" w:eastAsia="Arial" w:hAnsi="Arial"/>
                <w:sz w:val="14"/>
                <w:szCs w:val="14"/>
                <w:b w:val="1"/>
                <w:bCs w:val="1"/>
                <w:i w:val="1"/>
                <w:iCs w:val="1"/>
                <w:color w:val="auto"/>
                <w:w w:val="94"/>
              </w:rPr>
              <w:t>Stock Awards</w:t>
            </w:r>
          </w:p>
        </w:tc>
        <w:tc>
          <w:tcPr>
            <w:tcW w:w="1340" w:type="dxa"/>
            <w:vAlign w:val="bottom"/>
          </w:tcPr>
          <w:p>
            <w:pPr>
              <w:spacing w:after="0"/>
              <w:rPr>
                <w:sz w:val="15"/>
                <w:szCs w:val="15"/>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60" w:type="dxa"/>
            <w:vAlign w:val="bottom"/>
          </w:tcPr>
          <w:p>
            <w:pPr>
              <w:jc w:val="center"/>
              <w:spacing w:after="0" w:line="130" w:lineRule="exact"/>
              <w:rPr>
                <w:sz w:val="20"/>
                <w:szCs w:val="20"/>
                <w:color w:val="auto"/>
              </w:rPr>
            </w:pPr>
            <w:r>
              <w:rPr>
                <w:rFonts w:ascii="Arial" w:cs="Arial" w:eastAsia="Arial" w:hAnsi="Arial"/>
                <w:sz w:val="14"/>
                <w:szCs w:val="14"/>
                <w:b w:val="1"/>
                <w:bCs w:val="1"/>
                <w:i w:val="1"/>
                <w:iCs w:val="1"/>
                <w:color w:val="auto"/>
                <w:w w:val="91"/>
              </w:rPr>
              <w:t>Number of Shares</w:t>
            </w:r>
          </w:p>
        </w:tc>
        <w:tc>
          <w:tcPr>
            <w:tcW w:w="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340" w:type="dxa"/>
            <w:vAlign w:val="bottom"/>
            <w:gridSpan w:val="3"/>
          </w:tcPr>
          <w:p>
            <w:pPr>
              <w:jc w:val="center"/>
              <w:ind w:right="660"/>
              <w:spacing w:after="0" w:line="130" w:lineRule="exact"/>
              <w:rPr>
                <w:sz w:val="20"/>
                <w:szCs w:val="20"/>
                <w:color w:val="auto"/>
              </w:rPr>
            </w:pPr>
            <w:r>
              <w:rPr>
                <w:rFonts w:ascii="Arial" w:cs="Arial" w:eastAsia="Arial" w:hAnsi="Arial"/>
                <w:sz w:val="14"/>
                <w:szCs w:val="14"/>
                <w:b w:val="1"/>
                <w:bCs w:val="1"/>
                <w:i w:val="1"/>
                <w:iCs w:val="1"/>
                <w:color w:val="auto"/>
                <w:w w:val="89"/>
              </w:rPr>
              <w:t>Number of Shares</w:t>
            </w:r>
          </w:p>
        </w:tc>
        <w:tc>
          <w:tcPr>
            <w:tcW w:w="13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580" w:type="dxa"/>
            <w:vAlign w:val="bottom"/>
            <w:gridSpan w:val="2"/>
          </w:tcPr>
          <w:p>
            <w:pPr>
              <w:ind w:left="1340"/>
              <w:spacing w:after="0" w:line="149" w:lineRule="exact"/>
              <w:rPr>
                <w:sz w:val="20"/>
                <w:szCs w:val="20"/>
                <w:color w:val="auto"/>
              </w:rPr>
            </w:pPr>
            <w:r>
              <w:rPr>
                <w:rFonts w:ascii="Arial" w:cs="Arial" w:eastAsia="Arial" w:hAnsi="Arial"/>
                <w:sz w:val="14"/>
                <w:szCs w:val="14"/>
                <w:b w:val="1"/>
                <w:bCs w:val="1"/>
                <w:i w:val="1"/>
                <w:iCs w:val="1"/>
                <w:color w:val="auto"/>
              </w:rPr>
              <w:t>Name and</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0"/>
              </w:rPr>
              <w:t>Acquired on</w:t>
            </w:r>
          </w:p>
        </w:tc>
        <w:tc>
          <w:tcPr>
            <w:tcW w:w="400" w:type="dxa"/>
            <w:vAlign w:val="bottom"/>
          </w:tcPr>
          <w:p>
            <w:pPr>
              <w:spacing w:after="0"/>
              <w:rPr>
                <w:sz w:val="12"/>
                <w:szCs w:val="12"/>
                <w:color w:val="auto"/>
              </w:rPr>
            </w:pPr>
          </w:p>
        </w:tc>
        <w:tc>
          <w:tcPr>
            <w:tcW w:w="1520" w:type="dxa"/>
            <w:vAlign w:val="bottom"/>
          </w:tcPr>
          <w:p>
            <w:pPr>
              <w:ind w:left="320"/>
              <w:spacing w:after="0" w:line="149" w:lineRule="exact"/>
              <w:rPr>
                <w:sz w:val="20"/>
                <w:szCs w:val="20"/>
                <w:color w:val="auto"/>
              </w:rPr>
            </w:pPr>
            <w:r>
              <w:rPr>
                <w:rFonts w:ascii="Arial" w:cs="Arial" w:eastAsia="Arial" w:hAnsi="Arial"/>
                <w:sz w:val="14"/>
                <w:szCs w:val="14"/>
                <w:b w:val="1"/>
                <w:bCs w:val="1"/>
                <w:i w:val="1"/>
                <w:iCs w:val="1"/>
                <w:color w:val="auto"/>
              </w:rPr>
              <w:t>Value Realized</w:t>
            </w:r>
          </w:p>
        </w:tc>
        <w:tc>
          <w:tcPr>
            <w:tcW w:w="420" w:type="dxa"/>
            <w:vAlign w:val="bottom"/>
          </w:tcPr>
          <w:p>
            <w:pPr>
              <w:spacing w:after="0"/>
              <w:rPr>
                <w:sz w:val="12"/>
                <w:szCs w:val="12"/>
                <w:color w:val="auto"/>
              </w:rPr>
            </w:pPr>
          </w:p>
        </w:tc>
        <w:tc>
          <w:tcPr>
            <w:tcW w:w="2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i w:val="1"/>
                <w:iCs w:val="1"/>
                <w:color w:val="auto"/>
                <w:w w:val="88"/>
              </w:rPr>
              <w:t>Acquired on</w:t>
            </w:r>
          </w:p>
        </w:tc>
        <w:tc>
          <w:tcPr>
            <w:tcW w:w="1340" w:type="dxa"/>
            <w:vAlign w:val="bottom"/>
          </w:tcPr>
          <w:p>
            <w:pPr>
              <w:jc w:val="right"/>
              <w:ind w:right="268"/>
              <w:spacing w:after="0" w:line="149" w:lineRule="exact"/>
              <w:rPr>
                <w:sz w:val="20"/>
                <w:szCs w:val="20"/>
                <w:color w:val="auto"/>
              </w:rPr>
            </w:pPr>
            <w:r>
              <w:rPr>
                <w:rFonts w:ascii="Arial" w:cs="Arial" w:eastAsia="Arial" w:hAnsi="Arial"/>
                <w:sz w:val="14"/>
                <w:szCs w:val="14"/>
                <w:b w:val="1"/>
                <w:bCs w:val="1"/>
                <w:i w:val="1"/>
                <w:iCs w:val="1"/>
                <w:color w:val="auto"/>
                <w:w w:val="99"/>
              </w:rPr>
              <w:t>Value Realized</w:t>
            </w:r>
          </w:p>
        </w:tc>
      </w:tr>
      <w:tr>
        <w:trPr>
          <w:trHeight w:val="174"/>
        </w:trPr>
        <w:tc>
          <w:tcPr>
            <w:tcW w:w="20" w:type="dxa"/>
            <w:vAlign w:val="bottom"/>
          </w:tcPr>
          <w:p>
            <w:pPr>
              <w:spacing w:after="0"/>
              <w:rPr>
                <w:sz w:val="15"/>
                <w:szCs w:val="15"/>
                <w:color w:val="auto"/>
              </w:rPr>
            </w:pPr>
          </w:p>
        </w:tc>
        <w:tc>
          <w:tcPr>
            <w:tcW w:w="3580" w:type="dxa"/>
            <w:vAlign w:val="bottom"/>
            <w:gridSpan w:val="2"/>
          </w:tcPr>
          <w:p>
            <w:pPr>
              <w:ind w:left="1120"/>
              <w:spacing w:after="0"/>
              <w:rPr>
                <w:sz w:val="20"/>
                <w:szCs w:val="20"/>
                <w:color w:val="auto"/>
              </w:rPr>
            </w:pPr>
            <w:r>
              <w:rPr>
                <w:rFonts w:ascii="Arial" w:cs="Arial" w:eastAsia="Arial" w:hAnsi="Arial"/>
                <w:sz w:val="14"/>
                <w:szCs w:val="14"/>
                <w:b w:val="1"/>
                <w:bCs w:val="1"/>
                <w:i w:val="1"/>
                <w:iCs w:val="1"/>
                <w:color w:val="auto"/>
              </w:rPr>
              <w:t>Principal Position</w:t>
            </w:r>
          </w:p>
        </w:tc>
        <w:tc>
          <w:tcPr>
            <w:tcW w:w="16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0"/>
              </w:rPr>
              <w:t>Exercise(#)</w:t>
            </w:r>
          </w:p>
        </w:tc>
        <w:tc>
          <w:tcPr>
            <w:tcW w:w="400" w:type="dxa"/>
            <w:vAlign w:val="bottom"/>
          </w:tcPr>
          <w:p>
            <w:pPr>
              <w:spacing w:after="0"/>
              <w:rPr>
                <w:sz w:val="15"/>
                <w:szCs w:val="15"/>
                <w:color w:val="auto"/>
              </w:rPr>
            </w:pPr>
          </w:p>
        </w:tc>
        <w:tc>
          <w:tcPr>
            <w:tcW w:w="1520" w:type="dxa"/>
            <w:vAlign w:val="bottom"/>
          </w:tcPr>
          <w:p>
            <w:pPr>
              <w:ind w:left="420"/>
              <w:spacing w:after="0"/>
              <w:rPr>
                <w:sz w:val="20"/>
                <w:szCs w:val="20"/>
                <w:color w:val="auto"/>
              </w:rPr>
            </w:pPr>
            <w:r>
              <w:rPr>
                <w:rFonts w:ascii="Arial" w:cs="Arial" w:eastAsia="Arial" w:hAnsi="Arial"/>
                <w:sz w:val="14"/>
                <w:szCs w:val="14"/>
                <w:b w:val="1"/>
                <w:bCs w:val="1"/>
                <w:i w:val="1"/>
                <w:iCs w:val="1"/>
                <w:color w:val="auto"/>
              </w:rPr>
              <w:t>on Exercise</w:t>
            </w:r>
          </w:p>
        </w:tc>
        <w:tc>
          <w:tcPr>
            <w:tcW w:w="420" w:type="dxa"/>
            <w:vAlign w:val="bottom"/>
          </w:tcPr>
          <w:p>
            <w:pPr>
              <w:spacing w:after="0"/>
              <w:rPr>
                <w:sz w:val="15"/>
                <w:szCs w:val="15"/>
                <w:color w:val="auto"/>
              </w:rPr>
            </w:pPr>
          </w:p>
        </w:tc>
        <w:tc>
          <w:tcPr>
            <w:tcW w:w="2340" w:type="dxa"/>
            <w:vAlign w:val="bottom"/>
            <w:gridSpan w:val="3"/>
          </w:tcPr>
          <w:p>
            <w:pPr>
              <w:jc w:val="center"/>
              <w:ind w:right="660"/>
              <w:spacing w:after="0"/>
              <w:rPr>
                <w:sz w:val="20"/>
                <w:szCs w:val="20"/>
                <w:color w:val="auto"/>
              </w:rPr>
            </w:pPr>
            <w:r>
              <w:rPr>
                <w:rFonts w:ascii="Arial" w:cs="Arial" w:eastAsia="Arial" w:hAnsi="Arial"/>
                <w:sz w:val="14"/>
                <w:szCs w:val="14"/>
                <w:b w:val="1"/>
                <w:bCs w:val="1"/>
                <w:i w:val="1"/>
                <w:iCs w:val="1"/>
                <w:color w:val="auto"/>
                <w:w w:val="88"/>
              </w:rPr>
              <w:t>Vesting(#)</w:t>
            </w:r>
          </w:p>
        </w:tc>
        <w:tc>
          <w:tcPr>
            <w:tcW w:w="1340" w:type="dxa"/>
            <w:vAlign w:val="bottom"/>
          </w:tcPr>
          <w:p>
            <w:pPr>
              <w:jc w:val="right"/>
              <w:ind w:right="388"/>
              <w:spacing w:after="0"/>
              <w:rPr>
                <w:sz w:val="20"/>
                <w:szCs w:val="20"/>
                <w:color w:val="auto"/>
              </w:rPr>
            </w:pPr>
            <w:r>
              <w:rPr>
                <w:rFonts w:ascii="Arial" w:cs="Arial" w:eastAsia="Arial" w:hAnsi="Arial"/>
                <w:sz w:val="14"/>
                <w:szCs w:val="14"/>
                <w:b w:val="1"/>
                <w:bCs w:val="1"/>
                <w:i w:val="1"/>
                <w:iCs w:val="1"/>
                <w:color w:val="auto"/>
              </w:rPr>
              <w:t>on Vesting</w:t>
            </w:r>
          </w:p>
        </w:tc>
      </w:tr>
      <w:tr>
        <w:trPr>
          <w:trHeight w:val="130"/>
        </w:trPr>
        <w:tc>
          <w:tcPr>
            <w:tcW w:w="20" w:type="dxa"/>
            <w:vAlign w:val="bottom"/>
          </w:tcPr>
          <w:p>
            <w:pPr>
              <w:spacing w:after="0"/>
              <w:rPr>
                <w:sz w:val="11"/>
                <w:szCs w:val="11"/>
                <w:color w:val="auto"/>
              </w:rPr>
            </w:pPr>
          </w:p>
        </w:tc>
        <w:tc>
          <w:tcPr>
            <w:tcW w:w="3320" w:type="dxa"/>
            <w:vAlign w:val="bottom"/>
            <w:tcBorders>
              <w:top w:val="single" w:sz="8" w:color="auto"/>
            </w:tcBorders>
          </w:tcPr>
          <w:p>
            <w:pPr>
              <w:spacing w:after="0" w:line="130" w:lineRule="exact"/>
              <w:rPr>
                <w:sz w:val="20"/>
                <w:szCs w:val="20"/>
                <w:color w:val="auto"/>
              </w:rPr>
            </w:pPr>
            <w:r>
              <w:rPr>
                <w:rFonts w:ascii="Arial" w:cs="Arial" w:eastAsia="Arial" w:hAnsi="Arial"/>
                <w:sz w:val="14"/>
                <w:szCs w:val="14"/>
                <w:color w:val="auto"/>
              </w:rPr>
              <w:t>M. Jay Allison</w:t>
            </w:r>
          </w:p>
        </w:tc>
        <w:tc>
          <w:tcPr>
            <w:tcW w:w="260" w:type="dxa"/>
            <w:vAlign w:val="bottom"/>
          </w:tcPr>
          <w:p>
            <w:pPr>
              <w:spacing w:after="0"/>
              <w:rPr>
                <w:sz w:val="11"/>
                <w:szCs w:val="11"/>
                <w:color w:val="auto"/>
              </w:rPr>
            </w:pPr>
          </w:p>
        </w:tc>
        <w:tc>
          <w:tcPr>
            <w:tcW w:w="1660" w:type="dxa"/>
            <w:vAlign w:val="bottom"/>
            <w:tcBorders>
              <w:top w:val="single" w:sz="8" w:color="auto"/>
            </w:tcBorders>
          </w:tcPr>
          <w:p>
            <w:pPr>
              <w:ind w:left="1300"/>
              <w:spacing w:after="0" w:line="130"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1520" w:type="dxa"/>
            <w:vAlign w:val="bottom"/>
            <w:tcBorders>
              <w:top w:val="single" w:sz="8" w:color="auto"/>
            </w:tcBorders>
          </w:tcPr>
          <w:p>
            <w:pPr>
              <w:ind w:left="1160"/>
              <w:spacing w:after="0" w:line="130"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1680" w:type="dxa"/>
            <w:vAlign w:val="bottom"/>
            <w:tcBorders>
              <w:top w:val="single" w:sz="8" w:color="auto"/>
            </w:tcBorders>
          </w:tcPr>
          <w:p>
            <w:pPr>
              <w:jc w:val="right"/>
              <w:ind w:right="148"/>
              <w:spacing w:after="0" w:line="130" w:lineRule="exact"/>
              <w:rPr>
                <w:sz w:val="20"/>
                <w:szCs w:val="20"/>
                <w:color w:val="auto"/>
              </w:rPr>
            </w:pPr>
            <w:r>
              <w:rPr>
                <w:rFonts w:ascii="Arial" w:cs="Arial" w:eastAsia="Arial" w:hAnsi="Arial"/>
                <w:sz w:val="14"/>
                <w:szCs w:val="14"/>
                <w:color w:val="auto"/>
              </w:rPr>
              <w:t>100,000</w:t>
            </w:r>
          </w:p>
        </w:tc>
        <w:tc>
          <w:tcPr>
            <w:tcW w:w="4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148"/>
              <w:spacing w:after="0" w:line="130" w:lineRule="exact"/>
              <w:rPr>
                <w:sz w:val="20"/>
                <w:szCs w:val="20"/>
                <w:color w:val="auto"/>
              </w:rPr>
            </w:pPr>
            <w:r>
              <w:rPr>
                <w:rFonts w:ascii="Arial" w:cs="Arial" w:eastAsia="Arial" w:hAnsi="Arial"/>
                <w:sz w:val="14"/>
                <w:szCs w:val="14"/>
                <w:color w:val="auto"/>
              </w:rPr>
              <w:t>$4,725,000</w:t>
            </w:r>
          </w:p>
        </w:tc>
      </w:tr>
      <w:tr>
        <w:trPr>
          <w:trHeight w:val="174"/>
        </w:trPr>
        <w:tc>
          <w:tcPr>
            <w:tcW w:w="20" w:type="dxa"/>
            <w:vAlign w:val="bottom"/>
          </w:tcPr>
          <w:p>
            <w:pPr>
              <w:spacing w:after="0"/>
              <w:rPr>
                <w:sz w:val="15"/>
                <w:szCs w:val="15"/>
                <w:color w:val="auto"/>
              </w:rPr>
            </w:pPr>
          </w:p>
        </w:tc>
        <w:tc>
          <w:tcPr>
            <w:tcW w:w="3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i w:val="1"/>
                <w:iCs w:val="1"/>
                <w:color w:val="auto"/>
              </w:rPr>
              <w:t>President and Chief Executive Officer</w:t>
            </w:r>
          </w:p>
        </w:tc>
        <w:tc>
          <w:tcPr>
            <w:tcW w:w="1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3580" w:type="dxa"/>
            <w:vAlign w:val="bottom"/>
            <w:gridSpan w:val="2"/>
          </w:tcPr>
          <w:p>
            <w:pPr>
              <w:spacing w:after="0" w:line="130" w:lineRule="exact"/>
              <w:rPr>
                <w:sz w:val="20"/>
                <w:szCs w:val="20"/>
                <w:color w:val="auto"/>
              </w:rPr>
            </w:pPr>
            <w:r>
              <w:rPr>
                <w:rFonts w:ascii="Arial" w:cs="Arial" w:eastAsia="Arial" w:hAnsi="Arial"/>
                <w:sz w:val="14"/>
                <w:szCs w:val="14"/>
                <w:color w:val="auto"/>
              </w:rPr>
              <w:t>Roland O. Burns</w:t>
            </w:r>
          </w:p>
        </w:tc>
        <w:tc>
          <w:tcPr>
            <w:tcW w:w="1660" w:type="dxa"/>
            <w:vAlign w:val="bottom"/>
          </w:tcPr>
          <w:p>
            <w:pPr>
              <w:ind w:left="1300"/>
              <w:spacing w:after="0" w:line="130"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1520" w:type="dxa"/>
            <w:vAlign w:val="bottom"/>
          </w:tcPr>
          <w:p>
            <w:pPr>
              <w:ind w:left="1160"/>
              <w:spacing w:after="0" w:line="130" w:lineRule="exact"/>
              <w:rPr>
                <w:sz w:val="20"/>
                <w:szCs w:val="20"/>
                <w:color w:val="auto"/>
              </w:rPr>
            </w:pPr>
            <w:r>
              <w:rPr>
                <w:rFonts w:ascii="Arial" w:cs="Arial" w:eastAsia="Arial" w:hAnsi="Arial"/>
                <w:sz w:val="14"/>
                <w:szCs w:val="14"/>
                <w:color w:val="auto"/>
              </w:rPr>
              <w:t>—</w:t>
            </w:r>
          </w:p>
        </w:tc>
        <w:tc>
          <w:tcPr>
            <w:tcW w:w="2100" w:type="dxa"/>
            <w:vAlign w:val="bottom"/>
            <w:gridSpan w:val="2"/>
          </w:tcPr>
          <w:p>
            <w:pPr>
              <w:jc w:val="right"/>
              <w:ind w:right="148"/>
              <w:spacing w:after="0" w:line="130" w:lineRule="exact"/>
              <w:rPr>
                <w:sz w:val="20"/>
                <w:szCs w:val="20"/>
                <w:color w:val="auto"/>
              </w:rPr>
            </w:pPr>
            <w:r>
              <w:rPr>
                <w:rFonts w:ascii="Arial" w:cs="Arial" w:eastAsia="Arial" w:hAnsi="Arial"/>
                <w:sz w:val="14"/>
                <w:szCs w:val="14"/>
                <w:color w:val="auto"/>
              </w:rPr>
              <w:t>40,000</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$1,890,000</w:t>
            </w:r>
          </w:p>
        </w:tc>
      </w:tr>
      <w:tr>
        <w:trPr>
          <w:trHeight w:val="149"/>
        </w:trPr>
        <w:tc>
          <w:tcPr>
            <w:tcW w:w="20" w:type="dxa"/>
            <w:vAlign w:val="bottom"/>
          </w:tcPr>
          <w:p>
            <w:pPr>
              <w:spacing w:after="0"/>
              <w:rPr>
                <w:sz w:val="12"/>
                <w:szCs w:val="12"/>
                <w:color w:val="auto"/>
              </w:rPr>
            </w:pPr>
          </w:p>
        </w:tc>
        <w:tc>
          <w:tcPr>
            <w:tcW w:w="358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Senior Vice President and Chief</w:t>
            </w:r>
          </w:p>
        </w:tc>
        <w:tc>
          <w:tcPr>
            <w:tcW w:w="1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3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i w:val="1"/>
                <w:iCs w:val="1"/>
                <w:color w:val="auto"/>
              </w:rPr>
              <w:t>Financial Officer</w:t>
            </w:r>
          </w:p>
        </w:tc>
        <w:tc>
          <w:tcPr>
            <w:tcW w:w="1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3580" w:type="dxa"/>
            <w:vAlign w:val="bottom"/>
            <w:gridSpan w:val="2"/>
          </w:tcPr>
          <w:p>
            <w:pPr>
              <w:spacing w:after="0" w:line="130" w:lineRule="exact"/>
              <w:rPr>
                <w:sz w:val="20"/>
                <w:szCs w:val="20"/>
                <w:color w:val="auto"/>
              </w:rPr>
            </w:pPr>
            <w:r>
              <w:rPr>
                <w:rFonts w:ascii="Arial" w:cs="Arial" w:eastAsia="Arial" w:hAnsi="Arial"/>
                <w:sz w:val="14"/>
                <w:szCs w:val="14"/>
                <w:color w:val="auto"/>
              </w:rPr>
              <w:t>Mack D. Good</w:t>
            </w:r>
          </w:p>
        </w:tc>
        <w:tc>
          <w:tcPr>
            <w:tcW w:w="1660" w:type="dxa"/>
            <w:vAlign w:val="bottom"/>
          </w:tcPr>
          <w:p>
            <w:pPr>
              <w:ind w:left="1300"/>
              <w:spacing w:after="0" w:line="130"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1520" w:type="dxa"/>
            <w:vAlign w:val="bottom"/>
          </w:tcPr>
          <w:p>
            <w:pPr>
              <w:ind w:left="1160"/>
              <w:spacing w:after="0" w:line="130" w:lineRule="exact"/>
              <w:rPr>
                <w:sz w:val="20"/>
                <w:szCs w:val="20"/>
                <w:color w:val="auto"/>
              </w:rPr>
            </w:pPr>
            <w:r>
              <w:rPr>
                <w:rFonts w:ascii="Arial" w:cs="Arial" w:eastAsia="Arial" w:hAnsi="Arial"/>
                <w:sz w:val="14"/>
                <w:szCs w:val="14"/>
                <w:color w:val="auto"/>
              </w:rPr>
              <w:t>—</w:t>
            </w:r>
          </w:p>
        </w:tc>
        <w:tc>
          <w:tcPr>
            <w:tcW w:w="2100" w:type="dxa"/>
            <w:vAlign w:val="bottom"/>
            <w:gridSpan w:val="2"/>
          </w:tcPr>
          <w:p>
            <w:pPr>
              <w:jc w:val="right"/>
              <w:ind w:right="148"/>
              <w:spacing w:after="0" w:line="130" w:lineRule="exact"/>
              <w:rPr>
                <w:sz w:val="20"/>
                <w:szCs w:val="20"/>
                <w:color w:val="auto"/>
              </w:rPr>
            </w:pPr>
            <w:r>
              <w:rPr>
                <w:rFonts w:ascii="Arial" w:cs="Arial" w:eastAsia="Arial" w:hAnsi="Arial"/>
                <w:sz w:val="14"/>
                <w:szCs w:val="14"/>
                <w:color w:val="auto"/>
              </w:rPr>
              <w:t>12,500</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$590,625</w:t>
            </w:r>
          </w:p>
        </w:tc>
      </w:tr>
      <w:tr>
        <w:trPr>
          <w:trHeight w:val="174"/>
        </w:trPr>
        <w:tc>
          <w:tcPr>
            <w:tcW w:w="20" w:type="dxa"/>
            <w:vAlign w:val="bottom"/>
          </w:tcPr>
          <w:p>
            <w:pPr>
              <w:spacing w:after="0"/>
              <w:rPr>
                <w:sz w:val="15"/>
                <w:szCs w:val="15"/>
                <w:color w:val="auto"/>
              </w:rPr>
            </w:pPr>
          </w:p>
        </w:tc>
        <w:tc>
          <w:tcPr>
            <w:tcW w:w="3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i w:val="1"/>
                <w:iCs w:val="1"/>
                <w:color w:val="auto"/>
              </w:rPr>
              <w:t>Chief Operating Officer</w:t>
            </w:r>
          </w:p>
        </w:tc>
        <w:tc>
          <w:tcPr>
            <w:tcW w:w="1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3580" w:type="dxa"/>
            <w:vAlign w:val="bottom"/>
            <w:gridSpan w:val="2"/>
          </w:tcPr>
          <w:p>
            <w:pPr>
              <w:spacing w:after="0" w:line="130" w:lineRule="exact"/>
              <w:rPr>
                <w:sz w:val="20"/>
                <w:szCs w:val="20"/>
                <w:color w:val="auto"/>
              </w:rPr>
            </w:pPr>
            <w:r>
              <w:rPr>
                <w:rFonts w:ascii="Arial" w:cs="Arial" w:eastAsia="Arial" w:hAnsi="Arial"/>
                <w:sz w:val="14"/>
                <w:szCs w:val="14"/>
                <w:color w:val="auto"/>
              </w:rPr>
              <w:t>D. Dale Gillette</w:t>
            </w:r>
          </w:p>
        </w:tc>
        <w:tc>
          <w:tcPr>
            <w:tcW w:w="1660" w:type="dxa"/>
            <w:vAlign w:val="bottom"/>
          </w:tcPr>
          <w:p>
            <w:pPr>
              <w:ind w:left="1300"/>
              <w:spacing w:after="0" w:line="130"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1520" w:type="dxa"/>
            <w:vAlign w:val="bottom"/>
          </w:tcPr>
          <w:p>
            <w:pPr>
              <w:ind w:left="1160"/>
              <w:spacing w:after="0" w:line="130" w:lineRule="exact"/>
              <w:rPr>
                <w:sz w:val="20"/>
                <w:szCs w:val="20"/>
                <w:color w:val="auto"/>
              </w:rPr>
            </w:pPr>
            <w:r>
              <w:rPr>
                <w:rFonts w:ascii="Arial" w:cs="Arial" w:eastAsia="Arial" w:hAnsi="Arial"/>
                <w:sz w:val="14"/>
                <w:szCs w:val="14"/>
                <w:color w:val="auto"/>
              </w:rPr>
              <w:t>—</w:t>
            </w:r>
          </w:p>
        </w:tc>
        <w:tc>
          <w:tcPr>
            <w:tcW w:w="2100" w:type="dxa"/>
            <w:vAlign w:val="bottom"/>
            <w:gridSpan w:val="2"/>
          </w:tcPr>
          <w:p>
            <w:pPr>
              <w:jc w:val="right"/>
              <w:ind w:right="148"/>
              <w:spacing w:after="0" w:line="130" w:lineRule="exact"/>
              <w:rPr>
                <w:sz w:val="20"/>
                <w:szCs w:val="20"/>
                <w:color w:val="auto"/>
              </w:rPr>
            </w:pPr>
            <w:r>
              <w:rPr>
                <w:rFonts w:ascii="Arial" w:cs="Arial" w:eastAsia="Arial" w:hAnsi="Arial"/>
                <w:sz w:val="14"/>
                <w:szCs w:val="14"/>
                <w:color w:val="auto"/>
              </w:rPr>
              <w:t>10,000</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$353,300</w:t>
            </w:r>
          </w:p>
        </w:tc>
      </w:tr>
      <w:tr>
        <w:trPr>
          <w:trHeight w:val="149"/>
        </w:trPr>
        <w:tc>
          <w:tcPr>
            <w:tcW w:w="20" w:type="dxa"/>
            <w:vAlign w:val="bottom"/>
          </w:tcPr>
          <w:p>
            <w:pPr>
              <w:spacing w:after="0"/>
              <w:rPr>
                <w:sz w:val="12"/>
                <w:szCs w:val="12"/>
                <w:color w:val="auto"/>
              </w:rPr>
            </w:pPr>
          </w:p>
        </w:tc>
        <w:tc>
          <w:tcPr>
            <w:tcW w:w="3580" w:type="dxa"/>
            <w:vAlign w:val="bottom"/>
            <w:gridSpan w:val="2"/>
          </w:tcPr>
          <w:p>
            <w:pPr>
              <w:ind w:left="160"/>
              <w:spacing w:after="0" w:line="149" w:lineRule="exact"/>
              <w:rPr>
                <w:sz w:val="20"/>
                <w:szCs w:val="20"/>
                <w:color w:val="auto"/>
              </w:rPr>
            </w:pPr>
            <w:r>
              <w:rPr>
                <w:rFonts w:ascii="Arial" w:cs="Arial" w:eastAsia="Arial" w:hAnsi="Arial"/>
                <w:sz w:val="14"/>
                <w:szCs w:val="14"/>
                <w:i w:val="1"/>
                <w:iCs w:val="1"/>
                <w:color w:val="auto"/>
              </w:rPr>
              <w:t>Vice President of Land and</w:t>
            </w:r>
          </w:p>
        </w:tc>
        <w:tc>
          <w:tcPr>
            <w:tcW w:w="1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3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i w:val="1"/>
                <w:iCs w:val="1"/>
                <w:color w:val="auto"/>
              </w:rPr>
              <w:t>General Counsel</w:t>
            </w:r>
          </w:p>
        </w:tc>
        <w:tc>
          <w:tcPr>
            <w:tcW w:w="1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3580" w:type="dxa"/>
            <w:vAlign w:val="bottom"/>
            <w:gridSpan w:val="2"/>
          </w:tcPr>
          <w:p>
            <w:pPr>
              <w:spacing w:after="0" w:line="130" w:lineRule="exact"/>
              <w:rPr>
                <w:sz w:val="20"/>
                <w:szCs w:val="20"/>
                <w:color w:val="auto"/>
              </w:rPr>
            </w:pPr>
            <w:r>
              <w:rPr>
                <w:rFonts w:ascii="Arial" w:cs="Arial" w:eastAsia="Arial" w:hAnsi="Arial"/>
                <w:sz w:val="14"/>
                <w:szCs w:val="14"/>
                <w:color w:val="auto"/>
              </w:rPr>
              <w:t>Stephen E. Neukom</w:t>
            </w:r>
          </w:p>
        </w:tc>
        <w:tc>
          <w:tcPr>
            <w:tcW w:w="1660" w:type="dxa"/>
            <w:vAlign w:val="bottom"/>
          </w:tcPr>
          <w:p>
            <w:pPr>
              <w:ind w:left="1300"/>
              <w:spacing w:after="0" w:line="130"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1"/>
                <w:szCs w:val="11"/>
                <w:color w:val="auto"/>
              </w:rPr>
            </w:pPr>
          </w:p>
        </w:tc>
        <w:tc>
          <w:tcPr>
            <w:tcW w:w="1520" w:type="dxa"/>
            <w:vAlign w:val="bottom"/>
          </w:tcPr>
          <w:p>
            <w:pPr>
              <w:ind w:left="1160"/>
              <w:spacing w:after="0" w:line="130" w:lineRule="exact"/>
              <w:rPr>
                <w:sz w:val="20"/>
                <w:szCs w:val="20"/>
                <w:color w:val="auto"/>
              </w:rPr>
            </w:pPr>
            <w:r>
              <w:rPr>
                <w:rFonts w:ascii="Arial" w:cs="Arial" w:eastAsia="Arial" w:hAnsi="Arial"/>
                <w:sz w:val="14"/>
                <w:szCs w:val="14"/>
                <w:color w:val="auto"/>
              </w:rPr>
              <w:t>—</w:t>
            </w:r>
          </w:p>
        </w:tc>
        <w:tc>
          <w:tcPr>
            <w:tcW w:w="2100" w:type="dxa"/>
            <w:vAlign w:val="bottom"/>
            <w:gridSpan w:val="2"/>
          </w:tcPr>
          <w:p>
            <w:pPr>
              <w:jc w:val="right"/>
              <w:ind w:right="148"/>
              <w:spacing w:after="0" w:line="130" w:lineRule="exact"/>
              <w:rPr>
                <w:sz w:val="20"/>
                <w:szCs w:val="20"/>
                <w:color w:val="auto"/>
              </w:rPr>
            </w:pPr>
            <w:r>
              <w:rPr>
                <w:rFonts w:ascii="Arial" w:cs="Arial" w:eastAsia="Arial" w:hAnsi="Arial"/>
                <w:sz w:val="14"/>
                <w:szCs w:val="14"/>
                <w:color w:val="auto"/>
              </w:rPr>
              <w:t>5,000</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148"/>
              <w:spacing w:after="0" w:line="130" w:lineRule="exact"/>
              <w:rPr>
                <w:sz w:val="20"/>
                <w:szCs w:val="20"/>
                <w:color w:val="auto"/>
              </w:rPr>
            </w:pPr>
            <w:r>
              <w:rPr>
                <w:rFonts w:ascii="Arial" w:cs="Arial" w:eastAsia="Arial" w:hAnsi="Arial"/>
                <w:sz w:val="14"/>
                <w:szCs w:val="14"/>
                <w:color w:val="auto"/>
              </w:rPr>
              <w:t>$236,250</w:t>
            </w:r>
          </w:p>
        </w:tc>
      </w:tr>
      <w:tr>
        <w:trPr>
          <w:trHeight w:val="174"/>
        </w:trPr>
        <w:tc>
          <w:tcPr>
            <w:tcW w:w="20" w:type="dxa"/>
            <w:vAlign w:val="bottom"/>
          </w:tcPr>
          <w:p>
            <w:pPr>
              <w:spacing w:after="0"/>
              <w:rPr>
                <w:sz w:val="15"/>
                <w:szCs w:val="15"/>
                <w:color w:val="auto"/>
              </w:rPr>
            </w:pPr>
          </w:p>
        </w:tc>
        <w:tc>
          <w:tcPr>
            <w:tcW w:w="3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i w:val="1"/>
                <w:iCs w:val="1"/>
                <w:color w:val="auto"/>
              </w:rPr>
              <w:t>Vice President of Marketing</w:t>
            </w:r>
          </w:p>
        </w:tc>
        <w:tc>
          <w:tcPr>
            <w:tcW w:w="1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bl>
    <w:p>
      <w:pPr>
        <w:spacing w:after="0" w:line="22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 xml:space="preserve">Non-Qualified Deferred Compensation. </w:t>
      </w:r>
      <w:r>
        <w:rPr>
          <w:rFonts w:ascii="Arial" w:cs="Arial" w:eastAsia="Arial" w:hAnsi="Arial"/>
          <w:sz w:val="16"/>
          <w:szCs w:val="16"/>
          <w:color w:val="auto"/>
        </w:rPr>
        <w:t>The following table sets forth certain information with respect to the non-qualified deferred compensation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executives in 2009. Under our supplemental retirement plan, we contribute annually five percent of each executive′s annual cash compensation to purchase a variable universal life insurance policy on his life. During employment, he may designate a beneficiary to receive payment of the death benefit (reduced by the amount of the premiums paid by us, which are repaid to us), but has no other rights of ownership in the policy. Upon his retirement on or after four years of service or upon a change in control, the policy is transferred to him. No withdrawals or distribut ions were made in 2009.</w:t>
      </w:r>
    </w:p>
    <w:tbl>
      <w:tblPr>
        <w:tblLayout w:type="fixed"/>
        <w:tblInd w:w="0" w:type="dxa"/>
        <w:tblCellMar>
          <w:top w:w="0" w:type="dxa"/>
          <w:left w:w="0" w:type="dxa"/>
          <w:bottom w:w="0" w:type="dxa"/>
          <w:right w:w="0" w:type="dxa"/>
        </w:tblCellMar>
      </w:tblPr>
      <w:tr>
        <w:trPr>
          <w:trHeight w:val="140"/>
        </w:trPr>
        <w:tc>
          <w:tcPr>
            <w:tcW w:w="4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Pr>
          <w:p>
            <w:pPr>
              <w:jc w:val="center"/>
              <w:spacing w:after="0" w:line="140" w:lineRule="exact"/>
              <w:rPr>
                <w:sz w:val="20"/>
                <w:szCs w:val="20"/>
                <w:color w:val="auto"/>
              </w:rPr>
            </w:pPr>
            <w:r>
              <w:rPr>
                <w:rFonts w:ascii="Arial" w:cs="Arial" w:eastAsia="Arial" w:hAnsi="Arial"/>
                <w:sz w:val="14"/>
                <w:szCs w:val="14"/>
                <w:b w:val="1"/>
                <w:bCs w:val="1"/>
                <w:i w:val="1"/>
                <w:iCs w:val="1"/>
                <w:color w:val="auto"/>
                <w:w w:val="89"/>
              </w:rPr>
              <w:t>Aggregate</w:t>
            </w:r>
          </w:p>
        </w:tc>
      </w:tr>
      <w:tr>
        <w:trPr>
          <w:trHeight w:val="149"/>
        </w:trPr>
        <w:tc>
          <w:tcPr>
            <w:tcW w:w="43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2"/>
              </w:rPr>
              <w:t>Name and</w:t>
            </w:r>
          </w:p>
        </w:tc>
        <w:tc>
          <w:tcPr>
            <w:tcW w:w="4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Company</w:t>
            </w:r>
          </w:p>
        </w:tc>
        <w:tc>
          <w:tcPr>
            <w:tcW w:w="30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Aggregate</w:t>
            </w:r>
          </w:p>
        </w:tc>
        <w:tc>
          <w:tcPr>
            <w:tcW w:w="3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Balance at End of</w:t>
            </w:r>
          </w:p>
        </w:tc>
      </w:tr>
      <w:tr>
        <w:trPr>
          <w:trHeight w:val="174"/>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Principal Position</w:t>
            </w:r>
          </w:p>
        </w:tc>
        <w:tc>
          <w:tcPr>
            <w:tcW w:w="44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Contributions</w:t>
            </w:r>
            <w:r>
              <w:rPr>
                <w:rFonts w:ascii="Arial" w:cs="Arial" w:eastAsia="Arial" w:hAnsi="Arial"/>
                <w:sz w:val="10"/>
                <w:szCs w:val="10"/>
                <w:b w:val="1"/>
                <w:bCs w:val="1"/>
                <w:i w:val="1"/>
                <w:iCs w:val="1"/>
                <w:color w:val="auto"/>
                <w:w w:val="90"/>
              </w:rPr>
              <w:t>(1)</w:t>
            </w:r>
          </w:p>
        </w:tc>
        <w:tc>
          <w:tcPr>
            <w:tcW w:w="300" w:type="dxa"/>
            <w:vAlign w:val="bottom"/>
          </w:tcPr>
          <w:p>
            <w:pPr>
              <w:spacing w:after="0"/>
              <w:rPr>
                <w:sz w:val="15"/>
                <w:szCs w:val="15"/>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4"/>
              </w:rPr>
              <w:t>Earnings</w:t>
            </w:r>
            <w:r>
              <w:rPr>
                <w:rFonts w:ascii="Arial" w:cs="Arial" w:eastAsia="Arial" w:hAnsi="Arial"/>
                <w:sz w:val="10"/>
                <w:szCs w:val="10"/>
                <w:b w:val="1"/>
                <w:bCs w:val="1"/>
                <w:i w:val="1"/>
                <w:iCs w:val="1"/>
                <w:color w:val="auto"/>
                <w:w w:val="94"/>
              </w:rPr>
              <w:t>(2)</w:t>
            </w:r>
          </w:p>
        </w:tc>
        <w:tc>
          <w:tcPr>
            <w:tcW w:w="30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Year</w:t>
            </w:r>
          </w:p>
        </w:tc>
      </w:tr>
    </w:tbl>
    <w:p>
      <w:pPr>
        <w:sectPr>
          <w:pgSz w:w="11900" w:h="16843" w:orient="portrait"/>
          <w:cols w:equalWidth="0" w:num="1">
            <w:col w:w="11420"/>
          </w:cols>
          <w:pgMar w:left="240" w:top="490"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20"/>
                <w:szCs w:val="20"/>
                <w:color w:val="auto"/>
              </w:rPr>
            </w:pPr>
            <w:r>
              <w:rPr>
                <w:rFonts w:ascii="Arial" w:cs="Arial" w:eastAsia="Arial" w:hAnsi="Arial"/>
                <w:sz w:val="14"/>
                <w:szCs w:val="14"/>
                <w:color w:val="auto"/>
              </w:rPr>
              <w:t>M. Jay Allison</w:t>
            </w:r>
          </w:p>
        </w:tc>
        <w:tc>
          <w:tcPr>
            <w:tcW w:w="2960" w:type="dxa"/>
            <w:vAlign w:val="bottom"/>
          </w:tcPr>
          <w:p>
            <w:pPr>
              <w:jc w:val="right"/>
              <w:ind w:right="768"/>
              <w:spacing w:after="0"/>
              <w:rPr>
                <w:sz w:val="20"/>
                <w:szCs w:val="20"/>
                <w:color w:val="auto"/>
              </w:rPr>
            </w:pPr>
            <w:r>
              <w:rPr>
                <w:rFonts w:ascii="Arial" w:cs="Arial" w:eastAsia="Arial" w:hAnsi="Arial"/>
                <w:sz w:val="14"/>
                <w:szCs w:val="14"/>
                <w:color w:val="auto"/>
              </w:rPr>
              <w:t>$226,500</w:t>
            </w:r>
          </w:p>
        </w:tc>
        <w:tc>
          <w:tcPr>
            <w:tcW w:w="2260" w:type="dxa"/>
            <w:vAlign w:val="bottom"/>
          </w:tcPr>
          <w:p>
            <w:pPr>
              <w:jc w:val="right"/>
              <w:ind w:right="788"/>
              <w:spacing w:after="0"/>
              <w:rPr>
                <w:sz w:val="20"/>
                <w:szCs w:val="20"/>
                <w:color w:val="auto"/>
              </w:rPr>
            </w:pPr>
            <w:r>
              <w:rPr>
                <w:rFonts w:ascii="Arial" w:cs="Arial" w:eastAsia="Arial" w:hAnsi="Arial"/>
                <w:sz w:val="14"/>
                <w:szCs w:val="14"/>
                <w:color w:val="auto"/>
              </w:rPr>
              <w:t>$236,618</w:t>
            </w:r>
          </w:p>
        </w:tc>
        <w:tc>
          <w:tcPr>
            <w:tcW w:w="1720" w:type="dxa"/>
            <w:vAlign w:val="bottom"/>
          </w:tcPr>
          <w:p>
            <w:pPr>
              <w:jc w:val="right"/>
              <w:ind w:right="148"/>
              <w:spacing w:after="0"/>
              <w:rPr>
                <w:sz w:val="20"/>
                <w:szCs w:val="20"/>
                <w:color w:val="auto"/>
              </w:rPr>
            </w:pPr>
            <w:r>
              <w:rPr>
                <w:rFonts w:ascii="Arial" w:cs="Arial" w:eastAsia="Arial" w:hAnsi="Arial"/>
                <w:sz w:val="14"/>
                <w:szCs w:val="14"/>
                <w:color w:val="auto"/>
              </w:rPr>
              <w:t>$1,008,054</w:t>
            </w:r>
          </w:p>
        </w:tc>
      </w:tr>
      <w:tr>
        <w:trPr>
          <w:trHeight w:val="174"/>
        </w:trPr>
        <w:tc>
          <w:tcPr>
            <w:tcW w:w="432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rPr>
              <w:t>President and Chief Executive Officer</w:t>
            </w:r>
          </w:p>
        </w:tc>
        <w:tc>
          <w:tcPr>
            <w:tcW w:w="29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278"/>
        </w:trPr>
        <w:tc>
          <w:tcPr>
            <w:tcW w:w="4320" w:type="dxa"/>
            <w:vAlign w:val="bottom"/>
          </w:tcPr>
          <w:p>
            <w:pPr>
              <w:spacing w:after="0"/>
              <w:rPr>
                <w:sz w:val="20"/>
                <w:szCs w:val="20"/>
                <w:color w:val="auto"/>
              </w:rPr>
            </w:pPr>
            <w:r>
              <w:rPr>
                <w:rFonts w:ascii="Arial" w:cs="Arial" w:eastAsia="Arial" w:hAnsi="Arial"/>
                <w:sz w:val="14"/>
                <w:szCs w:val="14"/>
                <w:color w:val="auto"/>
              </w:rPr>
              <w:t>Roland O. Burns</w:t>
            </w:r>
          </w:p>
        </w:tc>
        <w:tc>
          <w:tcPr>
            <w:tcW w:w="2960" w:type="dxa"/>
            <w:vAlign w:val="bottom"/>
          </w:tcPr>
          <w:p>
            <w:pPr>
              <w:jc w:val="right"/>
              <w:ind w:right="768"/>
              <w:spacing w:after="0"/>
              <w:rPr>
                <w:sz w:val="20"/>
                <w:szCs w:val="20"/>
                <w:color w:val="auto"/>
              </w:rPr>
            </w:pPr>
            <w:r>
              <w:rPr>
                <w:rFonts w:ascii="Arial" w:cs="Arial" w:eastAsia="Arial" w:hAnsi="Arial"/>
                <w:sz w:val="14"/>
                <w:szCs w:val="14"/>
                <w:color w:val="auto"/>
              </w:rPr>
              <w:t>$85,050</w:t>
            </w:r>
          </w:p>
        </w:tc>
        <w:tc>
          <w:tcPr>
            <w:tcW w:w="2260" w:type="dxa"/>
            <w:vAlign w:val="bottom"/>
          </w:tcPr>
          <w:p>
            <w:pPr>
              <w:jc w:val="right"/>
              <w:ind w:right="788"/>
              <w:spacing w:after="0"/>
              <w:rPr>
                <w:sz w:val="20"/>
                <w:szCs w:val="20"/>
                <w:color w:val="auto"/>
              </w:rPr>
            </w:pPr>
            <w:r>
              <w:rPr>
                <w:rFonts w:ascii="Arial" w:cs="Arial" w:eastAsia="Arial" w:hAnsi="Arial"/>
                <w:sz w:val="14"/>
                <w:szCs w:val="14"/>
                <w:color w:val="auto"/>
              </w:rPr>
              <w:t>$124,300</w:t>
            </w:r>
          </w:p>
        </w:tc>
        <w:tc>
          <w:tcPr>
            <w:tcW w:w="1720" w:type="dxa"/>
            <w:vAlign w:val="bottom"/>
          </w:tcPr>
          <w:p>
            <w:pPr>
              <w:jc w:val="right"/>
              <w:ind w:right="148"/>
              <w:spacing w:after="0"/>
              <w:rPr>
                <w:sz w:val="20"/>
                <w:szCs w:val="20"/>
                <w:color w:val="auto"/>
              </w:rPr>
            </w:pPr>
            <w:r>
              <w:rPr>
                <w:rFonts w:ascii="Arial" w:cs="Arial" w:eastAsia="Arial" w:hAnsi="Arial"/>
                <w:sz w:val="14"/>
                <w:szCs w:val="14"/>
                <w:color w:val="auto"/>
              </w:rPr>
              <w:t>$429,750</w:t>
            </w:r>
          </w:p>
        </w:tc>
      </w:tr>
      <w:tr>
        <w:trPr>
          <w:trHeight w:val="149"/>
        </w:trPr>
        <w:tc>
          <w:tcPr>
            <w:tcW w:w="4320" w:type="dxa"/>
            <w:vAlign w:val="bottom"/>
          </w:tcPr>
          <w:p>
            <w:pPr>
              <w:ind w:left="180"/>
              <w:spacing w:after="0" w:line="149" w:lineRule="exact"/>
              <w:rPr>
                <w:sz w:val="20"/>
                <w:szCs w:val="20"/>
                <w:color w:val="auto"/>
              </w:rPr>
            </w:pPr>
            <w:r>
              <w:rPr>
                <w:rFonts w:ascii="Arial" w:cs="Arial" w:eastAsia="Arial" w:hAnsi="Arial"/>
                <w:sz w:val="14"/>
                <w:szCs w:val="14"/>
                <w:i w:val="1"/>
                <w:iCs w:val="1"/>
                <w:color w:val="auto"/>
              </w:rPr>
              <w:t>Senior Vice President and</w:t>
            </w:r>
          </w:p>
        </w:tc>
        <w:tc>
          <w:tcPr>
            <w:tcW w:w="29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74"/>
        </w:trPr>
        <w:tc>
          <w:tcPr>
            <w:tcW w:w="432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rPr>
              <w:t>Chief Financial Officer</w:t>
            </w:r>
          </w:p>
        </w:tc>
        <w:tc>
          <w:tcPr>
            <w:tcW w:w="29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278"/>
        </w:trPr>
        <w:tc>
          <w:tcPr>
            <w:tcW w:w="4320" w:type="dxa"/>
            <w:vAlign w:val="bottom"/>
          </w:tcPr>
          <w:p>
            <w:pPr>
              <w:spacing w:after="0"/>
              <w:rPr>
                <w:sz w:val="20"/>
                <w:szCs w:val="20"/>
                <w:color w:val="auto"/>
              </w:rPr>
            </w:pPr>
            <w:r>
              <w:rPr>
                <w:rFonts w:ascii="Arial" w:cs="Arial" w:eastAsia="Arial" w:hAnsi="Arial"/>
                <w:sz w:val="14"/>
                <w:szCs w:val="14"/>
                <w:color w:val="auto"/>
              </w:rPr>
              <w:t>Mack D. Good</w:t>
            </w:r>
          </w:p>
        </w:tc>
        <w:tc>
          <w:tcPr>
            <w:tcW w:w="2960" w:type="dxa"/>
            <w:vAlign w:val="bottom"/>
          </w:tcPr>
          <w:p>
            <w:pPr>
              <w:jc w:val="right"/>
              <w:ind w:right="768"/>
              <w:spacing w:after="0"/>
              <w:rPr>
                <w:sz w:val="20"/>
                <w:szCs w:val="20"/>
                <w:color w:val="auto"/>
              </w:rPr>
            </w:pPr>
            <w:r>
              <w:rPr>
                <w:rFonts w:ascii="Arial" w:cs="Arial" w:eastAsia="Arial" w:hAnsi="Arial"/>
                <w:sz w:val="14"/>
                <w:szCs w:val="14"/>
                <w:color w:val="auto"/>
              </w:rPr>
              <w:t>$51,750</w:t>
            </w:r>
          </w:p>
        </w:tc>
        <w:tc>
          <w:tcPr>
            <w:tcW w:w="2260" w:type="dxa"/>
            <w:vAlign w:val="bottom"/>
          </w:tcPr>
          <w:p>
            <w:pPr>
              <w:jc w:val="right"/>
              <w:ind w:right="788"/>
              <w:spacing w:after="0"/>
              <w:rPr>
                <w:sz w:val="20"/>
                <w:szCs w:val="20"/>
                <w:color w:val="auto"/>
              </w:rPr>
            </w:pPr>
            <w:r>
              <w:rPr>
                <w:rFonts w:ascii="Arial" w:cs="Arial" w:eastAsia="Arial" w:hAnsi="Arial"/>
                <w:sz w:val="14"/>
                <w:szCs w:val="14"/>
                <w:color w:val="auto"/>
              </w:rPr>
              <w:t>$31,376</w:t>
            </w:r>
          </w:p>
        </w:tc>
        <w:tc>
          <w:tcPr>
            <w:tcW w:w="1720" w:type="dxa"/>
            <w:vAlign w:val="bottom"/>
          </w:tcPr>
          <w:p>
            <w:pPr>
              <w:jc w:val="right"/>
              <w:ind w:right="148"/>
              <w:spacing w:after="0"/>
              <w:rPr>
                <w:sz w:val="20"/>
                <w:szCs w:val="20"/>
                <w:color w:val="auto"/>
              </w:rPr>
            </w:pPr>
            <w:r>
              <w:rPr>
                <w:rFonts w:ascii="Arial" w:cs="Arial" w:eastAsia="Arial" w:hAnsi="Arial"/>
                <w:sz w:val="14"/>
                <w:szCs w:val="14"/>
                <w:color w:val="auto"/>
              </w:rPr>
              <w:t>$199,854</w:t>
            </w:r>
          </w:p>
        </w:tc>
      </w:tr>
      <w:tr>
        <w:trPr>
          <w:trHeight w:val="174"/>
        </w:trPr>
        <w:tc>
          <w:tcPr>
            <w:tcW w:w="432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rPr>
              <w:t>Chief Operating Officer</w:t>
            </w:r>
          </w:p>
        </w:tc>
        <w:tc>
          <w:tcPr>
            <w:tcW w:w="29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278"/>
        </w:trPr>
        <w:tc>
          <w:tcPr>
            <w:tcW w:w="4320" w:type="dxa"/>
            <w:vAlign w:val="bottom"/>
          </w:tcPr>
          <w:p>
            <w:pPr>
              <w:spacing w:after="0"/>
              <w:rPr>
                <w:sz w:val="20"/>
                <w:szCs w:val="20"/>
                <w:color w:val="auto"/>
              </w:rPr>
            </w:pPr>
            <w:r>
              <w:rPr>
                <w:rFonts w:ascii="Arial" w:cs="Arial" w:eastAsia="Arial" w:hAnsi="Arial"/>
                <w:sz w:val="14"/>
                <w:szCs w:val="14"/>
                <w:color w:val="auto"/>
              </w:rPr>
              <w:t>D. Dale Gillette</w:t>
            </w:r>
          </w:p>
        </w:tc>
        <w:tc>
          <w:tcPr>
            <w:tcW w:w="2960" w:type="dxa"/>
            <w:vAlign w:val="bottom"/>
          </w:tcPr>
          <w:p>
            <w:pPr>
              <w:jc w:val="right"/>
              <w:ind w:right="768"/>
              <w:spacing w:after="0"/>
              <w:rPr>
                <w:sz w:val="20"/>
                <w:szCs w:val="20"/>
                <w:color w:val="auto"/>
              </w:rPr>
            </w:pPr>
            <w:r>
              <w:rPr>
                <w:rFonts w:ascii="Arial" w:cs="Arial" w:eastAsia="Arial" w:hAnsi="Arial"/>
                <w:sz w:val="14"/>
                <w:szCs w:val="14"/>
                <w:color w:val="auto"/>
              </w:rPr>
              <w:t>$29,500</w:t>
            </w:r>
          </w:p>
        </w:tc>
        <w:tc>
          <w:tcPr>
            <w:tcW w:w="2260" w:type="dxa"/>
            <w:vAlign w:val="bottom"/>
          </w:tcPr>
          <w:p>
            <w:pPr>
              <w:jc w:val="right"/>
              <w:ind w:right="788"/>
              <w:spacing w:after="0"/>
              <w:rPr>
                <w:sz w:val="20"/>
                <w:szCs w:val="20"/>
                <w:color w:val="auto"/>
              </w:rPr>
            </w:pPr>
            <w:r>
              <w:rPr>
                <w:rFonts w:ascii="Arial" w:cs="Arial" w:eastAsia="Arial" w:hAnsi="Arial"/>
                <w:sz w:val="14"/>
                <w:szCs w:val="14"/>
                <w:color w:val="auto"/>
              </w:rPr>
              <w:t>$15,473</w:t>
            </w:r>
          </w:p>
        </w:tc>
        <w:tc>
          <w:tcPr>
            <w:tcW w:w="1720" w:type="dxa"/>
            <w:vAlign w:val="bottom"/>
          </w:tcPr>
          <w:p>
            <w:pPr>
              <w:jc w:val="right"/>
              <w:ind w:right="148"/>
              <w:spacing w:after="0"/>
              <w:rPr>
                <w:sz w:val="20"/>
                <w:szCs w:val="20"/>
                <w:color w:val="auto"/>
              </w:rPr>
            </w:pPr>
            <w:r>
              <w:rPr>
                <w:rFonts w:ascii="Arial" w:cs="Arial" w:eastAsia="Arial" w:hAnsi="Arial"/>
                <w:sz w:val="14"/>
                <w:szCs w:val="14"/>
                <w:color w:val="auto"/>
              </w:rPr>
              <w:t>$58,509</w:t>
            </w:r>
          </w:p>
        </w:tc>
      </w:tr>
      <w:tr>
        <w:trPr>
          <w:trHeight w:val="174"/>
        </w:trPr>
        <w:tc>
          <w:tcPr>
            <w:tcW w:w="432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rPr>
              <w:t>Vice President of Land and General Counsel</w:t>
            </w:r>
          </w:p>
        </w:tc>
        <w:tc>
          <w:tcPr>
            <w:tcW w:w="29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278"/>
        </w:trPr>
        <w:tc>
          <w:tcPr>
            <w:tcW w:w="4320" w:type="dxa"/>
            <w:vAlign w:val="bottom"/>
          </w:tcPr>
          <w:p>
            <w:pPr>
              <w:spacing w:after="0"/>
              <w:rPr>
                <w:sz w:val="20"/>
                <w:szCs w:val="20"/>
                <w:color w:val="auto"/>
              </w:rPr>
            </w:pPr>
            <w:r>
              <w:rPr>
                <w:rFonts w:ascii="Arial" w:cs="Arial" w:eastAsia="Arial" w:hAnsi="Arial"/>
                <w:sz w:val="14"/>
                <w:szCs w:val="14"/>
                <w:color w:val="auto"/>
              </w:rPr>
              <w:t>Stephen E. Neukom</w:t>
            </w:r>
          </w:p>
        </w:tc>
        <w:tc>
          <w:tcPr>
            <w:tcW w:w="2960" w:type="dxa"/>
            <w:vAlign w:val="bottom"/>
          </w:tcPr>
          <w:p>
            <w:pPr>
              <w:jc w:val="right"/>
              <w:ind w:right="768"/>
              <w:spacing w:after="0"/>
              <w:rPr>
                <w:sz w:val="20"/>
                <w:szCs w:val="20"/>
                <w:color w:val="auto"/>
              </w:rPr>
            </w:pPr>
            <w:r>
              <w:rPr>
                <w:rFonts w:ascii="Arial" w:cs="Arial" w:eastAsia="Arial" w:hAnsi="Arial"/>
                <w:sz w:val="14"/>
                <w:szCs w:val="14"/>
                <w:color w:val="auto"/>
              </w:rPr>
              <w:t>$24,100</w:t>
            </w:r>
          </w:p>
        </w:tc>
        <w:tc>
          <w:tcPr>
            <w:tcW w:w="2260" w:type="dxa"/>
            <w:vAlign w:val="bottom"/>
          </w:tcPr>
          <w:p>
            <w:pPr>
              <w:jc w:val="right"/>
              <w:ind w:right="788"/>
              <w:spacing w:after="0"/>
              <w:rPr>
                <w:sz w:val="20"/>
                <w:szCs w:val="20"/>
                <w:color w:val="auto"/>
              </w:rPr>
            </w:pPr>
            <w:r>
              <w:rPr>
                <w:rFonts w:ascii="Arial" w:cs="Arial" w:eastAsia="Arial" w:hAnsi="Arial"/>
                <w:sz w:val="14"/>
                <w:szCs w:val="14"/>
                <w:color w:val="auto"/>
              </w:rPr>
              <w:t>$888</w:t>
            </w:r>
          </w:p>
        </w:tc>
        <w:tc>
          <w:tcPr>
            <w:tcW w:w="1720" w:type="dxa"/>
            <w:vAlign w:val="bottom"/>
          </w:tcPr>
          <w:p>
            <w:pPr>
              <w:jc w:val="right"/>
              <w:ind w:right="148"/>
              <w:spacing w:after="0"/>
              <w:rPr>
                <w:sz w:val="20"/>
                <w:szCs w:val="20"/>
                <w:color w:val="auto"/>
              </w:rPr>
            </w:pPr>
            <w:r>
              <w:rPr>
                <w:rFonts w:ascii="Arial" w:cs="Arial" w:eastAsia="Arial" w:hAnsi="Arial"/>
                <w:sz w:val="14"/>
                <w:szCs w:val="14"/>
                <w:color w:val="auto"/>
              </w:rPr>
              <w:t>$123,258</w:t>
            </w:r>
          </w:p>
        </w:tc>
      </w:tr>
      <w:tr>
        <w:trPr>
          <w:trHeight w:val="182"/>
        </w:trPr>
        <w:tc>
          <w:tcPr>
            <w:tcW w:w="4320" w:type="dxa"/>
            <w:vAlign w:val="bottom"/>
          </w:tcPr>
          <w:p>
            <w:pPr>
              <w:ind w:left="180"/>
              <w:spacing w:after="0"/>
              <w:rPr>
                <w:sz w:val="20"/>
                <w:szCs w:val="20"/>
                <w:color w:val="auto"/>
              </w:rPr>
            </w:pPr>
            <w:r>
              <w:rPr>
                <w:rFonts w:ascii="Arial" w:cs="Arial" w:eastAsia="Arial" w:hAnsi="Arial"/>
                <w:sz w:val="14"/>
                <w:szCs w:val="14"/>
                <w:i w:val="1"/>
                <w:iCs w:val="1"/>
                <w:color w:val="auto"/>
              </w:rPr>
              <w:t>Vice President of Marketing</w:t>
            </w:r>
          </w:p>
        </w:tc>
        <w:tc>
          <w:tcPr>
            <w:tcW w:w="29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7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437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ind w:left="340" w:hanging="332"/>
        <w:spacing w:after="0" w:line="229"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Company contributions have not been included in the Summary Compensation Table for this or any prior years.</w:t>
      </w:r>
    </w:p>
    <w:p>
      <w:pPr>
        <w:ind w:left="340" w:hanging="332"/>
        <w:spacing w:after="0"/>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Above market portion of the aggregate earnings has been included in the Summary Compensation Table in each year. Below market losses were not included in the Summary Compensation Table.</w:t>
      </w:r>
    </w:p>
    <w:p>
      <w:pPr>
        <w:spacing w:after="0" w:line="23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7"/>
          <w:szCs w:val="17"/>
          <w:i w:val="1"/>
          <w:iCs w:val="1"/>
          <w:color w:val="auto"/>
        </w:rPr>
        <w:t xml:space="preserve">Potential Payments Upon Termination. </w:t>
      </w:r>
      <w:r>
        <w:rPr>
          <w:rFonts w:ascii="Arial" w:cs="Arial" w:eastAsia="Arial" w:hAnsi="Arial"/>
          <w:sz w:val="17"/>
          <w:szCs w:val="17"/>
          <w:color w:val="auto"/>
        </w:rPr>
        <w:t>We have entered into employment agreements with Messrs. Allison and Burns. Under the agreements, we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provide compensation to these officers in the event we terminate the executive′s employment without cause or the executive terminates his employment with good reason, including assignment of duties inconsistent with his position or requiring him to be based at any other location. The agreements provide that the base salary for Messrs. Allison and Burns will be no less than $550,000 and $385,000, respectively. If the executive dies, the agreements provide for payment of six months of annualized total compensation. The agreements provide for the payment of severance bene fits if the executive′s employment is terminated by us without cause or by the executive for good reason in an amount equal to 150% of his then current salary and most recent bonus, plus a payment equal to the cost of continued medical benefits for eighteen months and the employee′s tax costs on this payment. If there is a change in control and the executive terminates his employment within six months thereafter (or at any time thereafter by the executive for good reason) or if the executive′s employment is terminated by us without cause at any time thereafter, the severance benefit payable to the executive is 299% of his salary and highest annual bonus. In connection with a change in control, Messrs. Allison and Burns will be entitled to gross-up payments if they are subject to the excise tax imposed by Section 4999 of the Internal Revenue Code.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27" w:name="page28"/>
    <w:bookmarkEnd w:id="27"/>
    <w:p>
      <w:pPr>
        <w:jc w:val="both"/>
        <w:ind w:firstLine="324"/>
        <w:spacing w:after="0" w:line="277" w:lineRule="auto"/>
        <w:rPr>
          <w:sz w:val="20"/>
          <w:szCs w:val="20"/>
          <w:color w:val="auto"/>
        </w:rPr>
      </w:pPr>
      <w:r>
        <w:rPr>
          <w:rFonts w:ascii="Arial" w:cs="Arial" w:eastAsia="Arial" w:hAnsi="Arial"/>
          <w:sz w:val="18"/>
          <w:szCs w:val="18"/>
          <w:color w:val="auto"/>
        </w:rPr>
        <w:t>The employment agreements provide that Messrs. Allison and Burns will maintain the confidentiality of our confidential and proprietary information for as long as the information is not publicly disclosed.</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quantify compensation that would become payable under the employment agreements and other arrangements if the named executive′s employment had terminated on December 31, 2009, based on, where applicable, our closing stock price on that date. Due to the number of factors that affect the amount of any benefits provided upon the events discussed below, actual amounts paid or distributed may be different. If one of the named executives were to die or become disabled, his unvested stock awards would become vested. Under our Supplemental Executive Retirement Plan, the named executives are entitled to receive a distribution of the life insurance policies insuring their lives in the event of termination of employment. This is reflected in the table below in the ″Pres ent Value of Deferred Compensation Benefits.″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Involuntary Termination Without Cause or Termination With Good Reason.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Present Value of</w:t>
            </w:r>
          </w:p>
        </w:tc>
        <w:tc>
          <w:tcPr>
            <w:tcW w:w="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3"/>
              </w:rPr>
              <w:t>Deferred</w:t>
            </w: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120" w:type="dxa"/>
            <w:vAlign w:val="bottom"/>
          </w:tcPr>
          <w:p>
            <w:pPr>
              <w:ind w:left="1260"/>
              <w:spacing w:after="0" w:line="149" w:lineRule="exact"/>
              <w:rPr>
                <w:sz w:val="20"/>
                <w:szCs w:val="20"/>
                <w:color w:val="auto"/>
              </w:rPr>
            </w:pPr>
            <w:r>
              <w:rPr>
                <w:rFonts w:ascii="Arial" w:cs="Arial" w:eastAsia="Arial" w:hAnsi="Arial"/>
                <w:sz w:val="14"/>
                <w:szCs w:val="14"/>
                <w:b w:val="1"/>
                <w:bCs w:val="1"/>
                <w:i w:val="1"/>
                <w:iCs w:val="1"/>
                <w:color w:val="auto"/>
              </w:rPr>
              <w:t>Name and</w:t>
            </w: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Compensation</w:t>
            </w:r>
          </w:p>
        </w:tc>
        <w:tc>
          <w:tcPr>
            <w:tcW w:w="440" w:type="dxa"/>
            <w:vAlign w:val="bottom"/>
          </w:tcPr>
          <w:p>
            <w:pPr>
              <w:spacing w:after="0"/>
              <w:rPr>
                <w:sz w:val="12"/>
                <w:szCs w:val="12"/>
                <w:color w:val="auto"/>
              </w:rPr>
            </w:pPr>
          </w:p>
        </w:tc>
        <w:tc>
          <w:tcPr>
            <w:tcW w:w="1560" w:type="dxa"/>
            <w:vAlign w:val="bottom"/>
          </w:tcPr>
          <w:p>
            <w:pPr>
              <w:jc w:val="right"/>
              <w:ind w:right="248"/>
              <w:spacing w:after="0" w:line="149" w:lineRule="exact"/>
              <w:rPr>
                <w:sz w:val="20"/>
                <w:szCs w:val="20"/>
                <w:color w:val="auto"/>
              </w:rPr>
            </w:pPr>
            <w:r>
              <w:rPr>
                <w:rFonts w:ascii="Arial" w:cs="Arial" w:eastAsia="Arial" w:hAnsi="Arial"/>
                <w:sz w:val="14"/>
                <w:szCs w:val="14"/>
                <w:b w:val="1"/>
                <w:bCs w:val="1"/>
                <w:i w:val="1"/>
                <w:iCs w:val="1"/>
                <w:color w:val="auto"/>
              </w:rPr>
              <w:t>Continuation of</w:t>
            </w:r>
          </w:p>
        </w:tc>
        <w:tc>
          <w:tcPr>
            <w:tcW w:w="160" w:type="dxa"/>
            <w:vAlign w:val="bottom"/>
          </w:tcPr>
          <w:p>
            <w:pPr>
              <w:spacing w:after="0"/>
              <w:rPr>
                <w:sz w:val="12"/>
                <w:szCs w:val="12"/>
                <w:color w:val="auto"/>
              </w:rPr>
            </w:pPr>
          </w:p>
        </w:tc>
      </w:tr>
      <w:tr>
        <w:trPr>
          <w:trHeight w:val="174"/>
        </w:trPr>
        <w:tc>
          <w:tcPr>
            <w:tcW w:w="31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i w:val="1"/>
                <w:iCs w:val="1"/>
                <w:color w:val="auto"/>
              </w:rPr>
              <w:t>Principal Position</w:t>
            </w:r>
          </w:p>
        </w:tc>
        <w:tc>
          <w:tcPr>
            <w:tcW w:w="300" w:type="dxa"/>
            <w:vAlign w:val="bottom"/>
          </w:tcPr>
          <w:p>
            <w:pPr>
              <w:spacing w:after="0"/>
              <w:rPr>
                <w:sz w:val="15"/>
                <w:szCs w:val="15"/>
                <w:color w:val="auto"/>
              </w:rPr>
            </w:pPr>
          </w:p>
        </w:tc>
        <w:tc>
          <w:tcPr>
            <w:tcW w:w="1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i w:val="1"/>
                <w:iCs w:val="1"/>
                <w:color w:val="auto"/>
              </w:rPr>
              <w:t>Salary</w:t>
            </w:r>
            <w:r>
              <w:rPr>
                <w:rFonts w:ascii="Arial" w:cs="Arial" w:eastAsia="Arial" w:hAnsi="Arial"/>
                <w:sz w:val="10"/>
                <w:szCs w:val="10"/>
                <w:b w:val="1"/>
                <w:bCs w:val="1"/>
                <w:i w:val="1"/>
                <w:iCs w:val="1"/>
                <w:color w:val="auto"/>
              </w:rPr>
              <w:t>(1)</w:t>
            </w:r>
          </w:p>
        </w:tc>
        <w:tc>
          <w:tcPr>
            <w:tcW w:w="440" w:type="dxa"/>
            <w:vAlign w:val="bottom"/>
          </w:tcPr>
          <w:p>
            <w:pPr>
              <w:spacing w:after="0"/>
              <w:rPr>
                <w:sz w:val="15"/>
                <w:szCs w:val="15"/>
                <w:color w:val="auto"/>
              </w:rPr>
            </w:pPr>
          </w:p>
        </w:tc>
        <w:tc>
          <w:tcPr>
            <w:tcW w:w="15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i w:val="1"/>
                <w:iCs w:val="1"/>
                <w:color w:val="auto"/>
              </w:rPr>
              <w:t>Bonus</w:t>
            </w:r>
            <w:r>
              <w:rPr>
                <w:rFonts w:ascii="Arial" w:cs="Arial" w:eastAsia="Arial" w:hAnsi="Arial"/>
                <w:sz w:val="10"/>
                <w:szCs w:val="10"/>
                <w:b w:val="1"/>
                <w:bCs w:val="1"/>
                <w:i w:val="1"/>
                <w:iCs w:val="1"/>
                <w:color w:val="auto"/>
              </w:rPr>
              <w:t>(2)</w:t>
            </w:r>
          </w:p>
        </w:tc>
        <w:tc>
          <w:tcPr>
            <w:tcW w:w="4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Benefits</w:t>
            </w:r>
          </w:p>
        </w:tc>
        <w:tc>
          <w:tcPr>
            <w:tcW w:w="440" w:type="dxa"/>
            <w:vAlign w:val="bottom"/>
          </w:tcPr>
          <w:p>
            <w:pPr>
              <w:spacing w:after="0"/>
              <w:rPr>
                <w:sz w:val="15"/>
                <w:szCs w:val="15"/>
                <w:color w:val="auto"/>
              </w:rPr>
            </w:pPr>
          </w:p>
        </w:tc>
        <w:tc>
          <w:tcPr>
            <w:tcW w:w="1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i w:val="1"/>
                <w:iCs w:val="1"/>
                <w:color w:val="auto"/>
              </w:rPr>
              <w:t>Health Benefits</w:t>
            </w:r>
            <w:r>
              <w:rPr>
                <w:rFonts w:ascii="Arial" w:cs="Arial" w:eastAsia="Arial" w:hAnsi="Arial"/>
                <w:sz w:val="10"/>
                <w:szCs w:val="10"/>
                <w:b w:val="1"/>
                <w:bCs w:val="1"/>
                <w:i w:val="1"/>
                <w:iCs w:val="1"/>
                <w:color w:val="auto"/>
              </w:rPr>
              <w:t>(3)</w:t>
            </w:r>
          </w:p>
        </w:tc>
        <w:tc>
          <w:tcPr>
            <w:tcW w:w="160" w:type="dxa"/>
            <w:vAlign w:val="bottom"/>
          </w:tcPr>
          <w:p>
            <w:pPr>
              <w:spacing w:after="0"/>
              <w:rPr>
                <w:sz w:val="15"/>
                <w:szCs w:val="15"/>
                <w:color w:val="auto"/>
              </w:rPr>
            </w:pPr>
          </w:p>
        </w:tc>
      </w:tr>
      <w:tr>
        <w:trPr>
          <w:trHeight w:val="278"/>
        </w:trPr>
        <w:tc>
          <w:tcPr>
            <w:tcW w:w="3120" w:type="dxa"/>
            <w:vAlign w:val="bottom"/>
          </w:tcPr>
          <w:p>
            <w:pPr>
              <w:spacing w:after="0"/>
              <w:rPr>
                <w:sz w:val="20"/>
                <w:szCs w:val="20"/>
                <w:color w:val="auto"/>
              </w:rPr>
            </w:pPr>
            <w:r>
              <w:rPr>
                <w:rFonts w:ascii="Arial" w:cs="Arial" w:eastAsia="Arial" w:hAnsi="Arial"/>
                <w:sz w:val="14"/>
                <w:szCs w:val="14"/>
                <w:color w:val="auto"/>
              </w:rPr>
              <w:t>M. Jay Allison</w:t>
            </w:r>
          </w:p>
        </w:tc>
        <w:tc>
          <w:tcPr>
            <w:tcW w:w="2000" w:type="dxa"/>
            <w:vAlign w:val="bottom"/>
            <w:gridSpan w:val="2"/>
          </w:tcPr>
          <w:p>
            <w:pPr>
              <w:jc w:val="right"/>
              <w:ind w:right="168"/>
              <w:spacing w:after="0"/>
              <w:rPr>
                <w:sz w:val="20"/>
                <w:szCs w:val="20"/>
                <w:color w:val="auto"/>
              </w:rPr>
            </w:pPr>
            <w:r>
              <w:rPr>
                <w:rFonts w:ascii="Arial" w:cs="Arial" w:eastAsia="Arial" w:hAnsi="Arial"/>
                <w:sz w:val="14"/>
                <w:szCs w:val="14"/>
                <w:color w:val="auto"/>
              </w:rPr>
              <w:t>$825,000</w:t>
            </w:r>
          </w:p>
        </w:tc>
        <w:tc>
          <w:tcPr>
            <w:tcW w:w="2000" w:type="dxa"/>
            <w:vAlign w:val="bottom"/>
            <w:gridSpan w:val="2"/>
          </w:tcPr>
          <w:p>
            <w:pPr>
              <w:jc w:val="right"/>
              <w:ind w:right="88"/>
              <w:spacing w:after="0"/>
              <w:rPr>
                <w:sz w:val="20"/>
                <w:szCs w:val="20"/>
                <w:color w:val="auto"/>
              </w:rPr>
            </w:pPr>
            <w:r>
              <w:rPr>
                <w:rFonts w:ascii="Arial" w:cs="Arial" w:eastAsia="Arial" w:hAnsi="Arial"/>
                <w:sz w:val="14"/>
                <w:szCs w:val="14"/>
                <w:color w:val="auto"/>
              </w:rPr>
              <w:t>$6,000,000</w:t>
            </w:r>
          </w:p>
        </w:tc>
        <w:tc>
          <w:tcPr>
            <w:tcW w:w="2140" w:type="dxa"/>
            <w:vAlign w:val="bottom"/>
            <w:gridSpan w:val="2"/>
          </w:tcPr>
          <w:p>
            <w:pPr>
              <w:jc w:val="right"/>
              <w:ind w:right="148"/>
              <w:spacing w:after="0"/>
              <w:rPr>
                <w:sz w:val="20"/>
                <w:szCs w:val="20"/>
                <w:color w:val="auto"/>
              </w:rPr>
            </w:pPr>
            <w:r>
              <w:rPr>
                <w:rFonts w:ascii="Arial" w:cs="Arial" w:eastAsia="Arial" w:hAnsi="Arial"/>
                <w:sz w:val="14"/>
                <w:szCs w:val="14"/>
                <w:color w:val="auto"/>
              </w:rPr>
              <w:t>$1,008,054</w:t>
            </w:r>
          </w:p>
        </w:tc>
        <w:tc>
          <w:tcPr>
            <w:tcW w:w="2000" w:type="dxa"/>
            <w:vAlign w:val="bottom"/>
            <w:gridSpan w:val="2"/>
          </w:tcPr>
          <w:p>
            <w:pPr>
              <w:jc w:val="right"/>
              <w:ind w:right="108"/>
              <w:spacing w:after="0"/>
              <w:rPr>
                <w:sz w:val="20"/>
                <w:szCs w:val="20"/>
                <w:color w:val="auto"/>
              </w:rPr>
            </w:pPr>
            <w:r>
              <w:rPr>
                <w:rFonts w:ascii="Arial" w:cs="Arial" w:eastAsia="Arial" w:hAnsi="Arial"/>
                <w:sz w:val="14"/>
                <w:szCs w:val="14"/>
                <w:color w:val="auto"/>
              </w:rPr>
              <w:t>$66,374</w:t>
            </w:r>
          </w:p>
        </w:tc>
        <w:tc>
          <w:tcPr>
            <w:tcW w:w="160" w:type="dxa"/>
            <w:vAlign w:val="bottom"/>
          </w:tcPr>
          <w:p>
            <w:pPr>
              <w:spacing w:after="0"/>
              <w:rPr>
                <w:sz w:val="24"/>
                <w:szCs w:val="24"/>
                <w:color w:val="auto"/>
              </w:rPr>
            </w:pPr>
          </w:p>
        </w:tc>
      </w:tr>
      <w:tr>
        <w:trPr>
          <w:trHeight w:val="149"/>
        </w:trPr>
        <w:tc>
          <w:tcPr>
            <w:tcW w:w="31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President and Chief Executive</w:t>
            </w: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4"/>
        </w:trPr>
        <w:tc>
          <w:tcPr>
            <w:tcW w:w="312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Officer</w:t>
            </w: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278"/>
        </w:trPr>
        <w:tc>
          <w:tcPr>
            <w:tcW w:w="3120" w:type="dxa"/>
            <w:vAlign w:val="bottom"/>
          </w:tcPr>
          <w:p>
            <w:pPr>
              <w:spacing w:after="0"/>
              <w:rPr>
                <w:sz w:val="20"/>
                <w:szCs w:val="20"/>
                <w:color w:val="auto"/>
              </w:rPr>
            </w:pPr>
            <w:r>
              <w:rPr>
                <w:rFonts w:ascii="Arial" w:cs="Arial" w:eastAsia="Arial" w:hAnsi="Arial"/>
                <w:sz w:val="14"/>
                <w:szCs w:val="14"/>
                <w:color w:val="auto"/>
              </w:rPr>
              <w:t>Roland O. Burns</w:t>
            </w:r>
          </w:p>
        </w:tc>
        <w:tc>
          <w:tcPr>
            <w:tcW w:w="2000" w:type="dxa"/>
            <w:vAlign w:val="bottom"/>
            <w:gridSpan w:val="2"/>
          </w:tcPr>
          <w:p>
            <w:pPr>
              <w:jc w:val="right"/>
              <w:ind w:right="168"/>
              <w:spacing w:after="0"/>
              <w:rPr>
                <w:sz w:val="20"/>
                <w:szCs w:val="20"/>
                <w:color w:val="auto"/>
              </w:rPr>
            </w:pPr>
            <w:r>
              <w:rPr>
                <w:rFonts w:ascii="Arial" w:cs="Arial" w:eastAsia="Arial" w:hAnsi="Arial"/>
                <w:sz w:val="14"/>
                <w:szCs w:val="14"/>
                <w:color w:val="auto"/>
              </w:rPr>
              <w:t>$557,500</w:t>
            </w:r>
          </w:p>
        </w:tc>
        <w:tc>
          <w:tcPr>
            <w:tcW w:w="2000" w:type="dxa"/>
            <w:vAlign w:val="bottom"/>
            <w:gridSpan w:val="2"/>
          </w:tcPr>
          <w:p>
            <w:pPr>
              <w:jc w:val="right"/>
              <w:ind w:right="88"/>
              <w:spacing w:after="0"/>
              <w:rPr>
                <w:sz w:val="20"/>
                <w:szCs w:val="20"/>
                <w:color w:val="auto"/>
              </w:rPr>
            </w:pPr>
            <w:r>
              <w:rPr>
                <w:rFonts w:ascii="Arial" w:cs="Arial" w:eastAsia="Arial" w:hAnsi="Arial"/>
                <w:sz w:val="14"/>
                <w:szCs w:val="14"/>
                <w:color w:val="auto"/>
              </w:rPr>
              <w:t>$1,995,000</w:t>
            </w:r>
          </w:p>
        </w:tc>
        <w:tc>
          <w:tcPr>
            <w:tcW w:w="2140" w:type="dxa"/>
            <w:vAlign w:val="bottom"/>
            <w:gridSpan w:val="2"/>
          </w:tcPr>
          <w:p>
            <w:pPr>
              <w:jc w:val="right"/>
              <w:ind w:right="148"/>
              <w:spacing w:after="0"/>
              <w:rPr>
                <w:sz w:val="20"/>
                <w:szCs w:val="20"/>
                <w:color w:val="auto"/>
              </w:rPr>
            </w:pPr>
            <w:r>
              <w:rPr>
                <w:rFonts w:ascii="Arial" w:cs="Arial" w:eastAsia="Arial" w:hAnsi="Arial"/>
                <w:sz w:val="14"/>
                <w:szCs w:val="14"/>
                <w:color w:val="auto"/>
              </w:rPr>
              <w:t>$429,750</w:t>
            </w:r>
          </w:p>
        </w:tc>
        <w:tc>
          <w:tcPr>
            <w:tcW w:w="2000" w:type="dxa"/>
            <w:vAlign w:val="bottom"/>
            <w:gridSpan w:val="2"/>
          </w:tcPr>
          <w:p>
            <w:pPr>
              <w:jc w:val="right"/>
              <w:ind w:right="108"/>
              <w:spacing w:after="0"/>
              <w:rPr>
                <w:sz w:val="20"/>
                <w:szCs w:val="20"/>
                <w:color w:val="auto"/>
              </w:rPr>
            </w:pPr>
            <w:r>
              <w:rPr>
                <w:rFonts w:ascii="Arial" w:cs="Arial" w:eastAsia="Arial" w:hAnsi="Arial"/>
                <w:sz w:val="14"/>
                <w:szCs w:val="14"/>
                <w:color w:val="auto"/>
              </w:rPr>
              <w:t>$66,374</w:t>
            </w:r>
          </w:p>
        </w:tc>
        <w:tc>
          <w:tcPr>
            <w:tcW w:w="160" w:type="dxa"/>
            <w:vAlign w:val="bottom"/>
          </w:tcPr>
          <w:p>
            <w:pPr>
              <w:spacing w:after="0"/>
              <w:rPr>
                <w:sz w:val="24"/>
                <w:szCs w:val="24"/>
                <w:color w:val="auto"/>
              </w:rPr>
            </w:pPr>
          </w:p>
        </w:tc>
      </w:tr>
      <w:tr>
        <w:trPr>
          <w:trHeight w:val="149"/>
        </w:trPr>
        <w:tc>
          <w:tcPr>
            <w:tcW w:w="31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Senior Vice President and Chief</w:t>
            </w: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4"/>
        </w:trPr>
        <w:tc>
          <w:tcPr>
            <w:tcW w:w="312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Financial Officer</w:t>
            </w: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278"/>
        </w:trPr>
        <w:tc>
          <w:tcPr>
            <w:tcW w:w="3120" w:type="dxa"/>
            <w:vAlign w:val="bottom"/>
          </w:tcPr>
          <w:p>
            <w:pPr>
              <w:spacing w:after="0"/>
              <w:rPr>
                <w:sz w:val="20"/>
                <w:szCs w:val="20"/>
                <w:color w:val="auto"/>
              </w:rPr>
            </w:pPr>
            <w:r>
              <w:rPr>
                <w:rFonts w:ascii="Arial" w:cs="Arial" w:eastAsia="Arial" w:hAnsi="Arial"/>
                <w:sz w:val="14"/>
                <w:szCs w:val="14"/>
                <w:color w:val="auto"/>
              </w:rPr>
              <w:t>Mack D. Good</w:t>
            </w:r>
          </w:p>
        </w:tc>
        <w:tc>
          <w:tcPr>
            <w:tcW w:w="300" w:type="dxa"/>
            <w:vAlign w:val="bottom"/>
          </w:tcPr>
          <w:p>
            <w:pPr>
              <w:spacing w:after="0"/>
              <w:rPr>
                <w:sz w:val="24"/>
                <w:szCs w:val="24"/>
                <w:color w:val="auto"/>
              </w:rPr>
            </w:pPr>
          </w:p>
        </w:tc>
        <w:tc>
          <w:tcPr>
            <w:tcW w:w="1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48"/>
              <w:spacing w:after="0"/>
              <w:rPr>
                <w:sz w:val="20"/>
                <w:szCs w:val="20"/>
                <w:color w:val="auto"/>
              </w:rPr>
            </w:pPr>
            <w:r>
              <w:rPr>
                <w:rFonts w:ascii="Arial" w:cs="Arial" w:eastAsia="Arial" w:hAnsi="Arial"/>
                <w:sz w:val="14"/>
                <w:szCs w:val="14"/>
                <w:color w:val="auto"/>
              </w:rPr>
              <w:t>$199,854</w:t>
            </w:r>
          </w:p>
        </w:tc>
        <w:tc>
          <w:tcPr>
            <w:tcW w:w="440" w:type="dxa"/>
            <w:vAlign w:val="bottom"/>
          </w:tcPr>
          <w:p>
            <w:pPr>
              <w:spacing w:after="0"/>
              <w:rPr>
                <w:sz w:val="24"/>
                <w:szCs w:val="24"/>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r>
      <w:tr>
        <w:trPr>
          <w:trHeight w:val="174"/>
        </w:trPr>
        <w:tc>
          <w:tcPr>
            <w:tcW w:w="312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Chief Operating Officer</w:t>
            </w: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278"/>
        </w:trPr>
        <w:tc>
          <w:tcPr>
            <w:tcW w:w="3120" w:type="dxa"/>
            <w:vAlign w:val="bottom"/>
          </w:tcPr>
          <w:p>
            <w:pPr>
              <w:spacing w:after="0"/>
              <w:rPr>
                <w:sz w:val="20"/>
                <w:szCs w:val="20"/>
                <w:color w:val="auto"/>
              </w:rPr>
            </w:pPr>
            <w:r>
              <w:rPr>
                <w:rFonts w:ascii="Arial" w:cs="Arial" w:eastAsia="Arial" w:hAnsi="Arial"/>
                <w:sz w:val="14"/>
                <w:szCs w:val="14"/>
                <w:color w:val="auto"/>
              </w:rPr>
              <w:t>D. Dale Gillette</w:t>
            </w:r>
          </w:p>
        </w:tc>
        <w:tc>
          <w:tcPr>
            <w:tcW w:w="300" w:type="dxa"/>
            <w:vAlign w:val="bottom"/>
          </w:tcPr>
          <w:p>
            <w:pPr>
              <w:spacing w:after="0"/>
              <w:rPr>
                <w:sz w:val="24"/>
                <w:szCs w:val="24"/>
                <w:color w:val="auto"/>
              </w:rPr>
            </w:pPr>
          </w:p>
        </w:tc>
        <w:tc>
          <w:tcPr>
            <w:tcW w:w="1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48"/>
              <w:spacing w:after="0"/>
              <w:rPr>
                <w:sz w:val="20"/>
                <w:szCs w:val="20"/>
                <w:color w:val="auto"/>
              </w:rPr>
            </w:pPr>
            <w:r>
              <w:rPr>
                <w:rFonts w:ascii="Arial" w:cs="Arial" w:eastAsia="Arial" w:hAnsi="Arial"/>
                <w:sz w:val="14"/>
                <w:szCs w:val="14"/>
                <w:color w:val="auto"/>
              </w:rPr>
              <w:t>$58,509</w:t>
            </w:r>
          </w:p>
        </w:tc>
        <w:tc>
          <w:tcPr>
            <w:tcW w:w="440" w:type="dxa"/>
            <w:vAlign w:val="bottom"/>
          </w:tcPr>
          <w:p>
            <w:pPr>
              <w:spacing w:after="0"/>
              <w:rPr>
                <w:sz w:val="24"/>
                <w:szCs w:val="24"/>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r>
      <w:tr>
        <w:trPr>
          <w:trHeight w:val="149"/>
        </w:trPr>
        <w:tc>
          <w:tcPr>
            <w:tcW w:w="31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Vice President of Land and</w:t>
            </w: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4"/>
        </w:trPr>
        <w:tc>
          <w:tcPr>
            <w:tcW w:w="312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General Counsel</w:t>
            </w: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278"/>
        </w:trPr>
        <w:tc>
          <w:tcPr>
            <w:tcW w:w="3120" w:type="dxa"/>
            <w:vAlign w:val="bottom"/>
          </w:tcPr>
          <w:p>
            <w:pPr>
              <w:spacing w:after="0"/>
              <w:rPr>
                <w:sz w:val="20"/>
                <w:szCs w:val="20"/>
                <w:color w:val="auto"/>
              </w:rPr>
            </w:pPr>
            <w:r>
              <w:rPr>
                <w:rFonts w:ascii="Arial" w:cs="Arial" w:eastAsia="Arial" w:hAnsi="Arial"/>
                <w:sz w:val="14"/>
                <w:szCs w:val="14"/>
                <w:color w:val="auto"/>
              </w:rPr>
              <w:t>Stephen E. Neukom</w:t>
            </w:r>
          </w:p>
        </w:tc>
        <w:tc>
          <w:tcPr>
            <w:tcW w:w="300" w:type="dxa"/>
            <w:vAlign w:val="bottom"/>
          </w:tcPr>
          <w:p>
            <w:pPr>
              <w:spacing w:after="0"/>
              <w:rPr>
                <w:sz w:val="24"/>
                <w:szCs w:val="24"/>
                <w:color w:val="auto"/>
              </w:rPr>
            </w:pPr>
          </w:p>
        </w:tc>
        <w:tc>
          <w:tcPr>
            <w:tcW w:w="1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148"/>
              <w:spacing w:after="0"/>
              <w:rPr>
                <w:sz w:val="20"/>
                <w:szCs w:val="20"/>
                <w:color w:val="auto"/>
              </w:rPr>
            </w:pPr>
            <w:r>
              <w:rPr>
                <w:rFonts w:ascii="Arial" w:cs="Arial" w:eastAsia="Arial" w:hAnsi="Arial"/>
                <w:sz w:val="14"/>
                <w:szCs w:val="14"/>
                <w:color w:val="auto"/>
              </w:rPr>
              <w:t>$123,258</w:t>
            </w:r>
          </w:p>
        </w:tc>
        <w:tc>
          <w:tcPr>
            <w:tcW w:w="440" w:type="dxa"/>
            <w:vAlign w:val="bottom"/>
          </w:tcPr>
          <w:p>
            <w:pPr>
              <w:spacing w:after="0"/>
              <w:rPr>
                <w:sz w:val="24"/>
                <w:szCs w:val="24"/>
                <w:color w:val="auto"/>
              </w:rPr>
            </w:pPr>
          </w:p>
        </w:tc>
        <w:tc>
          <w:tcPr>
            <w:tcW w:w="15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r>
      <w:tr>
        <w:trPr>
          <w:trHeight w:val="174"/>
        </w:trPr>
        <w:tc>
          <w:tcPr>
            <w:tcW w:w="312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Vice President of Marketing</w:t>
            </w: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bl>
    <w:p>
      <w:pPr>
        <w:spacing w:after="0" w:line="22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Amount equal to 150% of annual base salary.</w:t>
      </w:r>
    </w:p>
    <w:p>
      <w:pPr>
        <w:ind w:left="340" w:hanging="332"/>
        <w:spacing w:after="0" w:line="216" w:lineRule="auto"/>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Amount equal to 150% of fiscal year bonus.</w:t>
      </w:r>
    </w:p>
    <w:p>
      <w:pPr>
        <w:ind w:left="340" w:hanging="332"/>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Amount equal to the cost of continued medical and dental coverage for 18 months, increased for the employee's taxes on the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Termination Following a Change in Control.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Present Value</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8"/>
              </w:rPr>
              <w:t>Value of</w:t>
            </w: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0"/>
              </w:rPr>
              <w:t>of Deferred</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0"/>
              </w:rPr>
              <w:t>Continuation</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Unvested</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9"/>
        </w:trPr>
        <w:tc>
          <w:tcPr>
            <w:tcW w:w="2620" w:type="dxa"/>
            <w:vAlign w:val="bottom"/>
          </w:tcPr>
          <w:p>
            <w:pPr>
              <w:ind w:left="1000"/>
              <w:spacing w:after="0" w:line="149" w:lineRule="exact"/>
              <w:rPr>
                <w:sz w:val="20"/>
                <w:szCs w:val="20"/>
                <w:color w:val="auto"/>
              </w:rPr>
            </w:pPr>
            <w:r>
              <w:rPr>
                <w:rFonts w:ascii="Arial" w:cs="Arial" w:eastAsia="Arial" w:hAnsi="Arial"/>
                <w:sz w:val="14"/>
                <w:szCs w:val="14"/>
                <w:b w:val="1"/>
                <w:bCs w:val="1"/>
                <w:i w:val="1"/>
                <w:iCs w:val="1"/>
                <w:color w:val="auto"/>
              </w:rPr>
              <w:t>Name and</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248"/>
              <w:spacing w:after="0" w:line="149" w:lineRule="exact"/>
              <w:rPr>
                <w:sz w:val="20"/>
                <w:szCs w:val="20"/>
                <w:color w:val="auto"/>
              </w:rPr>
            </w:pPr>
            <w:r>
              <w:rPr>
                <w:rFonts w:ascii="Arial" w:cs="Arial" w:eastAsia="Arial" w:hAnsi="Arial"/>
                <w:sz w:val="14"/>
                <w:szCs w:val="14"/>
                <w:b w:val="1"/>
                <w:bCs w:val="1"/>
                <w:i w:val="1"/>
                <w:iCs w:val="1"/>
                <w:color w:val="auto"/>
              </w:rPr>
              <w:t>Compensation</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6"/>
              </w:rPr>
              <w:t>of Health</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Stock</w:t>
            </w:r>
          </w:p>
        </w:tc>
        <w:tc>
          <w:tcPr>
            <w:tcW w:w="140" w:type="dxa"/>
            <w:vAlign w:val="bottom"/>
          </w:tcPr>
          <w:p>
            <w:pPr>
              <w:spacing w:after="0"/>
              <w:rPr>
                <w:sz w:val="12"/>
                <w:szCs w:val="12"/>
                <w:color w:val="auto"/>
              </w:rPr>
            </w:pPr>
          </w:p>
        </w:tc>
        <w:tc>
          <w:tcPr>
            <w:tcW w:w="1680" w:type="dxa"/>
            <w:vAlign w:val="bottom"/>
          </w:tcPr>
          <w:p>
            <w:pPr>
              <w:ind w:left="500"/>
              <w:spacing w:after="0" w:line="149" w:lineRule="exact"/>
              <w:rPr>
                <w:sz w:val="20"/>
                <w:szCs w:val="20"/>
                <w:color w:val="auto"/>
              </w:rPr>
            </w:pPr>
            <w:r>
              <w:rPr>
                <w:rFonts w:ascii="Arial" w:cs="Arial" w:eastAsia="Arial" w:hAnsi="Arial"/>
                <w:sz w:val="14"/>
                <w:szCs w:val="14"/>
                <w:b w:val="1"/>
                <w:bCs w:val="1"/>
                <w:i w:val="1"/>
                <w:iCs w:val="1"/>
                <w:color w:val="auto"/>
              </w:rPr>
              <w:t>Excise Tax</w:t>
            </w:r>
          </w:p>
        </w:tc>
      </w:tr>
      <w:tr>
        <w:trPr>
          <w:trHeight w:val="174"/>
        </w:trPr>
        <w:tc>
          <w:tcPr>
            <w:tcW w:w="26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i w:val="1"/>
                <w:iCs w:val="1"/>
                <w:color w:val="auto"/>
              </w:rPr>
              <w:t>Principal Position</w:t>
            </w: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i w:val="1"/>
                <w:iCs w:val="1"/>
                <w:color w:val="auto"/>
              </w:rPr>
              <w:t>Salary</w:t>
            </w:r>
            <w:r>
              <w:rPr>
                <w:rFonts w:ascii="Arial" w:cs="Arial" w:eastAsia="Arial" w:hAnsi="Arial"/>
                <w:sz w:val="10"/>
                <w:szCs w:val="10"/>
                <w:b w:val="1"/>
                <w:bCs w:val="1"/>
                <w:i w:val="1"/>
                <w:iCs w:val="1"/>
                <w:color w:val="auto"/>
              </w:rPr>
              <w:t>(1)</w:t>
            </w:r>
          </w:p>
        </w:tc>
        <w:tc>
          <w:tcPr>
            <w:tcW w:w="140" w:type="dxa"/>
            <w:vAlign w:val="bottom"/>
          </w:tcPr>
          <w:p>
            <w:pPr>
              <w:spacing w:after="0"/>
              <w:rPr>
                <w:sz w:val="15"/>
                <w:szCs w:val="15"/>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i w:val="1"/>
                <w:iCs w:val="1"/>
                <w:color w:val="auto"/>
              </w:rPr>
              <w:t>Bonus</w:t>
            </w:r>
            <w:r>
              <w:rPr>
                <w:rFonts w:ascii="Arial" w:cs="Arial" w:eastAsia="Arial" w:hAnsi="Arial"/>
                <w:sz w:val="10"/>
                <w:szCs w:val="10"/>
                <w:b w:val="1"/>
                <w:bCs w:val="1"/>
                <w:i w:val="1"/>
                <w:iCs w:val="1"/>
                <w:color w:val="auto"/>
              </w:rPr>
              <w:t>(2)</w:t>
            </w:r>
          </w:p>
        </w:tc>
        <w:tc>
          <w:tcPr>
            <w:tcW w:w="16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Benefits</w:t>
            </w:r>
          </w:p>
        </w:tc>
        <w:tc>
          <w:tcPr>
            <w:tcW w:w="16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1"/>
              </w:rPr>
              <w:t>Benefits</w:t>
            </w:r>
            <w:r>
              <w:rPr>
                <w:rFonts w:ascii="Arial" w:cs="Arial" w:eastAsia="Arial" w:hAnsi="Arial"/>
                <w:sz w:val="10"/>
                <w:szCs w:val="10"/>
                <w:b w:val="1"/>
                <w:bCs w:val="1"/>
                <w:i w:val="1"/>
                <w:iCs w:val="1"/>
                <w:color w:val="auto"/>
                <w:w w:val="91"/>
              </w:rPr>
              <w:t>(3)</w:t>
            </w:r>
          </w:p>
        </w:tc>
        <w:tc>
          <w:tcPr>
            <w:tcW w:w="16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9"/>
              </w:rPr>
              <w:t>Awards</w:t>
            </w:r>
            <w:r>
              <w:rPr>
                <w:rFonts w:ascii="Arial" w:cs="Arial" w:eastAsia="Arial" w:hAnsi="Arial"/>
                <w:sz w:val="10"/>
                <w:szCs w:val="10"/>
                <w:b w:val="1"/>
                <w:bCs w:val="1"/>
                <w:i w:val="1"/>
                <w:iCs w:val="1"/>
                <w:color w:val="auto"/>
                <w:w w:val="89"/>
              </w:rPr>
              <w:t>(4)</w:t>
            </w:r>
          </w:p>
        </w:tc>
        <w:tc>
          <w:tcPr>
            <w:tcW w:w="140" w:type="dxa"/>
            <w:vAlign w:val="bottom"/>
          </w:tcPr>
          <w:p>
            <w:pPr>
              <w:spacing w:after="0"/>
              <w:rPr>
                <w:sz w:val="15"/>
                <w:szCs w:val="15"/>
                <w:color w:val="auto"/>
              </w:rPr>
            </w:pPr>
          </w:p>
        </w:tc>
        <w:tc>
          <w:tcPr>
            <w:tcW w:w="16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i w:val="1"/>
                <w:iCs w:val="1"/>
                <w:color w:val="auto"/>
              </w:rPr>
              <w:t>Reimbursement</w:t>
            </w:r>
            <w:r>
              <w:rPr>
                <w:rFonts w:ascii="Arial" w:cs="Arial" w:eastAsia="Arial" w:hAnsi="Arial"/>
                <w:sz w:val="10"/>
                <w:szCs w:val="10"/>
                <w:b w:val="1"/>
                <w:bCs w:val="1"/>
                <w:i w:val="1"/>
                <w:iCs w:val="1"/>
                <w:color w:val="auto"/>
              </w:rPr>
              <w:t>(5)</w:t>
            </w:r>
          </w:p>
        </w:tc>
      </w:tr>
      <w:tr>
        <w:trPr>
          <w:trHeight w:val="278"/>
        </w:trPr>
        <w:tc>
          <w:tcPr>
            <w:tcW w:w="2620" w:type="dxa"/>
            <w:vAlign w:val="bottom"/>
          </w:tcPr>
          <w:p>
            <w:pPr>
              <w:spacing w:after="0"/>
              <w:rPr>
                <w:sz w:val="20"/>
                <w:szCs w:val="20"/>
                <w:color w:val="auto"/>
              </w:rPr>
            </w:pPr>
            <w:r>
              <w:rPr>
                <w:rFonts w:ascii="Arial" w:cs="Arial" w:eastAsia="Arial" w:hAnsi="Arial"/>
                <w:sz w:val="14"/>
                <w:szCs w:val="14"/>
                <w:color w:val="auto"/>
              </w:rPr>
              <w:t>M. Jay Allison</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$1,644,500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$11,960,000</w:t>
            </w:r>
          </w:p>
        </w:tc>
        <w:tc>
          <w:tcPr>
            <w:tcW w:w="1620" w:type="dxa"/>
            <w:vAlign w:val="bottom"/>
            <w:gridSpan w:val="2"/>
          </w:tcPr>
          <w:p>
            <w:pPr>
              <w:jc w:val="right"/>
              <w:ind w:right="48"/>
              <w:spacing w:after="0"/>
              <w:rPr>
                <w:sz w:val="20"/>
                <w:szCs w:val="20"/>
                <w:color w:val="auto"/>
              </w:rPr>
            </w:pPr>
            <w:r>
              <w:rPr>
                <w:rFonts w:ascii="Arial" w:cs="Arial" w:eastAsia="Arial" w:hAnsi="Arial"/>
                <w:sz w:val="14"/>
                <w:szCs w:val="14"/>
                <w:color w:val="auto"/>
              </w:rPr>
              <w:t>$1,008,054</w:t>
            </w:r>
          </w:p>
        </w:tc>
        <w:tc>
          <w:tcPr>
            <w:tcW w:w="1460" w:type="dxa"/>
            <w:vAlign w:val="bottom"/>
            <w:gridSpan w:val="2"/>
          </w:tcPr>
          <w:p>
            <w:pPr>
              <w:jc w:val="right"/>
              <w:ind w:right="148"/>
              <w:spacing w:after="0"/>
              <w:rPr>
                <w:sz w:val="20"/>
                <w:szCs w:val="20"/>
                <w:color w:val="auto"/>
              </w:rPr>
            </w:pPr>
            <w:r>
              <w:rPr>
                <w:rFonts w:ascii="Arial" w:cs="Arial" w:eastAsia="Arial" w:hAnsi="Arial"/>
                <w:sz w:val="14"/>
                <w:szCs w:val="14"/>
                <w:color w:val="auto"/>
              </w:rPr>
              <w:t>$66,374</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$32,861,700</w:t>
            </w:r>
          </w:p>
        </w:tc>
        <w:tc>
          <w:tcPr>
            <w:tcW w:w="140" w:type="dxa"/>
            <w:vAlign w:val="bottom"/>
          </w:tcPr>
          <w:p>
            <w:pPr>
              <w:spacing w:after="0"/>
              <w:rPr>
                <w:sz w:val="24"/>
                <w:szCs w:val="24"/>
                <w:color w:val="auto"/>
              </w:rPr>
            </w:pPr>
          </w:p>
        </w:tc>
        <w:tc>
          <w:tcPr>
            <w:tcW w:w="1680" w:type="dxa"/>
            <w:vAlign w:val="bottom"/>
          </w:tcPr>
          <w:p>
            <w:pPr>
              <w:ind w:left="1460"/>
              <w:spacing w:after="0"/>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President and Chief</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4"/>
        </w:trPr>
        <w:tc>
          <w:tcPr>
            <w:tcW w:w="2620" w:type="dxa"/>
            <w:vAlign w:val="bottom"/>
            <w:tcBorders>
              <w:bottom w:val="single" w:sz="8" w:color="auto"/>
            </w:tcBorders>
          </w:tcPr>
          <w:p>
            <w:pPr>
              <w:ind w:left="240"/>
              <w:spacing w:after="0"/>
              <w:rPr>
                <w:sz w:val="20"/>
                <w:szCs w:val="20"/>
                <w:color w:val="auto"/>
              </w:rPr>
            </w:pPr>
            <w:r>
              <w:rPr>
                <w:rFonts w:ascii="Arial" w:cs="Arial" w:eastAsia="Arial" w:hAnsi="Arial"/>
                <w:sz w:val="14"/>
                <w:szCs w:val="14"/>
                <w:i w:val="1"/>
                <w:iCs w:val="1"/>
                <w:color w:val="auto"/>
              </w:rPr>
              <w:t>Executive Officer</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278"/>
        </w:trPr>
        <w:tc>
          <w:tcPr>
            <w:tcW w:w="2620" w:type="dxa"/>
            <w:vAlign w:val="bottom"/>
          </w:tcPr>
          <w:p>
            <w:pPr>
              <w:spacing w:after="0"/>
              <w:rPr>
                <w:sz w:val="20"/>
                <w:szCs w:val="20"/>
                <w:color w:val="auto"/>
              </w:rPr>
            </w:pPr>
            <w:r>
              <w:rPr>
                <w:rFonts w:ascii="Arial" w:cs="Arial" w:eastAsia="Arial" w:hAnsi="Arial"/>
                <w:sz w:val="14"/>
                <w:szCs w:val="14"/>
                <w:color w:val="auto"/>
              </w:rPr>
              <w:t>Roland O. Burns</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$1,151,150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$3,976,700</w:t>
            </w:r>
          </w:p>
        </w:tc>
        <w:tc>
          <w:tcPr>
            <w:tcW w:w="1620" w:type="dxa"/>
            <w:vAlign w:val="bottom"/>
            <w:gridSpan w:val="2"/>
          </w:tcPr>
          <w:p>
            <w:pPr>
              <w:jc w:val="right"/>
              <w:ind w:right="48"/>
              <w:spacing w:after="0"/>
              <w:rPr>
                <w:sz w:val="20"/>
                <w:szCs w:val="20"/>
                <w:color w:val="auto"/>
              </w:rPr>
            </w:pPr>
            <w:r>
              <w:rPr>
                <w:rFonts w:ascii="Arial" w:cs="Arial" w:eastAsia="Arial" w:hAnsi="Arial"/>
                <w:sz w:val="14"/>
                <w:szCs w:val="14"/>
                <w:color w:val="auto"/>
              </w:rPr>
              <w:t>$429,750</w:t>
            </w:r>
          </w:p>
        </w:tc>
        <w:tc>
          <w:tcPr>
            <w:tcW w:w="1460" w:type="dxa"/>
            <w:vAlign w:val="bottom"/>
            <w:gridSpan w:val="2"/>
          </w:tcPr>
          <w:p>
            <w:pPr>
              <w:jc w:val="right"/>
              <w:ind w:right="148"/>
              <w:spacing w:after="0"/>
              <w:rPr>
                <w:sz w:val="20"/>
                <w:szCs w:val="20"/>
                <w:color w:val="auto"/>
              </w:rPr>
            </w:pPr>
            <w:r>
              <w:rPr>
                <w:rFonts w:ascii="Arial" w:cs="Arial" w:eastAsia="Arial" w:hAnsi="Arial"/>
                <w:sz w:val="14"/>
                <w:szCs w:val="14"/>
                <w:color w:val="auto"/>
              </w:rPr>
              <w:t>$66,374</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$13,266,390</w:t>
            </w:r>
          </w:p>
        </w:tc>
        <w:tc>
          <w:tcPr>
            <w:tcW w:w="140" w:type="dxa"/>
            <w:vAlign w:val="bottom"/>
          </w:tcPr>
          <w:p>
            <w:pPr>
              <w:spacing w:after="0"/>
              <w:rPr>
                <w:sz w:val="24"/>
                <w:szCs w:val="24"/>
                <w:color w:val="auto"/>
              </w:rPr>
            </w:pPr>
          </w:p>
        </w:tc>
        <w:tc>
          <w:tcPr>
            <w:tcW w:w="1680" w:type="dxa"/>
            <w:vAlign w:val="bottom"/>
          </w:tcPr>
          <w:p>
            <w:pPr>
              <w:ind w:left="1460"/>
              <w:spacing w:after="0"/>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Senior Vice President and</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4"/>
        </w:trPr>
        <w:tc>
          <w:tcPr>
            <w:tcW w:w="2620" w:type="dxa"/>
            <w:vAlign w:val="bottom"/>
            <w:tcBorders>
              <w:bottom w:val="single" w:sz="8" w:color="auto"/>
            </w:tcBorders>
          </w:tcPr>
          <w:p>
            <w:pPr>
              <w:ind w:left="240"/>
              <w:spacing w:after="0"/>
              <w:rPr>
                <w:sz w:val="20"/>
                <w:szCs w:val="20"/>
                <w:color w:val="auto"/>
              </w:rPr>
            </w:pPr>
            <w:r>
              <w:rPr>
                <w:rFonts w:ascii="Arial" w:cs="Arial" w:eastAsia="Arial" w:hAnsi="Arial"/>
                <w:sz w:val="14"/>
                <w:szCs w:val="14"/>
                <w:i w:val="1"/>
                <w:iCs w:val="1"/>
                <w:color w:val="auto"/>
              </w:rPr>
              <w:t>Chief Financial Officer</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278"/>
        </w:trPr>
        <w:tc>
          <w:tcPr>
            <w:tcW w:w="2620" w:type="dxa"/>
            <w:vAlign w:val="bottom"/>
          </w:tcPr>
          <w:p>
            <w:pPr>
              <w:spacing w:after="0"/>
              <w:rPr>
                <w:sz w:val="20"/>
                <w:szCs w:val="20"/>
                <w:color w:val="auto"/>
              </w:rPr>
            </w:pPr>
            <w:r>
              <w:rPr>
                <w:rFonts w:ascii="Arial" w:cs="Arial" w:eastAsia="Arial" w:hAnsi="Arial"/>
                <w:sz w:val="14"/>
                <w:szCs w:val="14"/>
                <w:color w:val="auto"/>
              </w:rPr>
              <w:t>Mack D. Good</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8"/>
              <w:spacing w:after="0"/>
              <w:rPr>
                <w:sz w:val="20"/>
                <w:szCs w:val="20"/>
                <w:color w:val="auto"/>
              </w:rPr>
            </w:pPr>
            <w:r>
              <w:rPr>
                <w:rFonts w:ascii="Arial" w:cs="Arial" w:eastAsia="Arial" w:hAnsi="Arial"/>
                <w:sz w:val="14"/>
                <w:szCs w:val="14"/>
                <w:color w:val="auto"/>
              </w:rPr>
              <w:t>$199,854</w:t>
            </w:r>
          </w:p>
        </w:tc>
        <w:tc>
          <w:tcPr>
            <w:tcW w:w="160" w:type="dxa"/>
            <w:vAlign w:val="bottom"/>
          </w:tcPr>
          <w:p>
            <w:pPr>
              <w:spacing w:after="0"/>
              <w:rPr>
                <w:sz w:val="24"/>
                <w:szCs w:val="24"/>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$4,584,410</w:t>
            </w:r>
          </w:p>
        </w:tc>
        <w:tc>
          <w:tcPr>
            <w:tcW w:w="140" w:type="dxa"/>
            <w:vAlign w:val="bottom"/>
          </w:tcPr>
          <w:p>
            <w:pPr>
              <w:spacing w:after="0"/>
              <w:rPr>
                <w:sz w:val="24"/>
                <w:szCs w:val="24"/>
                <w:color w:val="auto"/>
              </w:rPr>
            </w:pPr>
          </w:p>
        </w:tc>
        <w:tc>
          <w:tcPr>
            <w:tcW w:w="1680" w:type="dxa"/>
            <w:vAlign w:val="bottom"/>
          </w:tcPr>
          <w:p>
            <w:pPr>
              <w:ind w:left="1460"/>
              <w:spacing w:after="0"/>
              <w:rPr>
                <w:sz w:val="20"/>
                <w:szCs w:val="20"/>
                <w:color w:val="auto"/>
              </w:rPr>
            </w:pPr>
            <w:r>
              <w:rPr>
                <w:rFonts w:ascii="Arial" w:cs="Arial" w:eastAsia="Arial" w:hAnsi="Arial"/>
                <w:sz w:val="14"/>
                <w:szCs w:val="14"/>
                <w:color w:val="auto"/>
              </w:rPr>
              <w:t>—</w:t>
            </w:r>
          </w:p>
        </w:tc>
      </w:tr>
      <w:tr>
        <w:trPr>
          <w:trHeight w:val="174"/>
        </w:trPr>
        <w:tc>
          <w:tcPr>
            <w:tcW w:w="262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Chief Operating Officer</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278"/>
        </w:trPr>
        <w:tc>
          <w:tcPr>
            <w:tcW w:w="2620" w:type="dxa"/>
            <w:vAlign w:val="bottom"/>
          </w:tcPr>
          <w:p>
            <w:pPr>
              <w:spacing w:after="0"/>
              <w:rPr>
                <w:sz w:val="20"/>
                <w:szCs w:val="20"/>
                <w:color w:val="auto"/>
              </w:rPr>
            </w:pPr>
            <w:r>
              <w:rPr>
                <w:rFonts w:ascii="Arial" w:cs="Arial" w:eastAsia="Arial" w:hAnsi="Arial"/>
                <w:sz w:val="14"/>
                <w:szCs w:val="14"/>
                <w:color w:val="auto"/>
              </w:rPr>
              <w:t>D. Dale Gillette</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8"/>
              <w:spacing w:after="0"/>
              <w:rPr>
                <w:sz w:val="20"/>
                <w:szCs w:val="20"/>
                <w:color w:val="auto"/>
              </w:rPr>
            </w:pPr>
            <w:r>
              <w:rPr>
                <w:rFonts w:ascii="Arial" w:cs="Arial" w:eastAsia="Arial" w:hAnsi="Arial"/>
                <w:sz w:val="14"/>
                <w:szCs w:val="14"/>
                <w:color w:val="auto"/>
              </w:rPr>
              <w:t>$58,509</w:t>
            </w:r>
          </w:p>
        </w:tc>
        <w:tc>
          <w:tcPr>
            <w:tcW w:w="160" w:type="dxa"/>
            <w:vAlign w:val="bottom"/>
          </w:tcPr>
          <w:p>
            <w:pPr>
              <w:spacing w:after="0"/>
              <w:rPr>
                <w:sz w:val="24"/>
                <w:szCs w:val="24"/>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$1,663,370</w:t>
            </w:r>
          </w:p>
        </w:tc>
        <w:tc>
          <w:tcPr>
            <w:tcW w:w="140" w:type="dxa"/>
            <w:vAlign w:val="bottom"/>
          </w:tcPr>
          <w:p>
            <w:pPr>
              <w:spacing w:after="0"/>
              <w:rPr>
                <w:sz w:val="24"/>
                <w:szCs w:val="24"/>
                <w:color w:val="auto"/>
              </w:rPr>
            </w:pPr>
          </w:p>
        </w:tc>
        <w:tc>
          <w:tcPr>
            <w:tcW w:w="1680" w:type="dxa"/>
            <w:vAlign w:val="bottom"/>
          </w:tcPr>
          <w:p>
            <w:pPr>
              <w:ind w:left="1460"/>
              <w:spacing w:after="0"/>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Vice President of Land and</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4"/>
        </w:trPr>
        <w:tc>
          <w:tcPr>
            <w:tcW w:w="2620" w:type="dxa"/>
            <w:vAlign w:val="bottom"/>
            <w:tcBorders>
              <w:bottom w:val="single" w:sz="8" w:color="auto"/>
            </w:tcBorders>
          </w:tcPr>
          <w:p>
            <w:pPr>
              <w:ind w:left="240"/>
              <w:spacing w:after="0"/>
              <w:rPr>
                <w:sz w:val="20"/>
                <w:szCs w:val="20"/>
                <w:color w:val="auto"/>
              </w:rPr>
            </w:pPr>
            <w:r>
              <w:rPr>
                <w:rFonts w:ascii="Arial" w:cs="Arial" w:eastAsia="Arial" w:hAnsi="Arial"/>
                <w:sz w:val="14"/>
                <w:szCs w:val="14"/>
                <w:i w:val="1"/>
                <w:iCs w:val="1"/>
                <w:color w:val="auto"/>
              </w:rPr>
              <w:t>General Counsel</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278"/>
        </w:trPr>
        <w:tc>
          <w:tcPr>
            <w:tcW w:w="2620" w:type="dxa"/>
            <w:vAlign w:val="bottom"/>
          </w:tcPr>
          <w:p>
            <w:pPr>
              <w:spacing w:after="0"/>
              <w:rPr>
                <w:sz w:val="20"/>
                <w:szCs w:val="20"/>
                <w:color w:val="auto"/>
              </w:rPr>
            </w:pPr>
            <w:r>
              <w:rPr>
                <w:rFonts w:ascii="Arial" w:cs="Arial" w:eastAsia="Arial" w:hAnsi="Arial"/>
                <w:sz w:val="14"/>
                <w:szCs w:val="14"/>
                <w:color w:val="auto"/>
              </w:rPr>
              <w:t>Stephen E. Neukom</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48"/>
              <w:spacing w:after="0"/>
              <w:rPr>
                <w:sz w:val="20"/>
                <w:szCs w:val="20"/>
                <w:color w:val="auto"/>
              </w:rPr>
            </w:pPr>
            <w:r>
              <w:rPr>
                <w:rFonts w:ascii="Arial" w:cs="Arial" w:eastAsia="Arial" w:hAnsi="Arial"/>
                <w:sz w:val="14"/>
                <w:szCs w:val="14"/>
                <w:color w:val="auto"/>
              </w:rPr>
              <w:t>$123,258</w:t>
            </w:r>
          </w:p>
        </w:tc>
        <w:tc>
          <w:tcPr>
            <w:tcW w:w="160" w:type="dxa"/>
            <w:vAlign w:val="bottom"/>
          </w:tcPr>
          <w:p>
            <w:pPr>
              <w:spacing w:after="0"/>
              <w:rPr>
                <w:sz w:val="24"/>
                <w:szCs w:val="24"/>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$1,480,805</w:t>
            </w:r>
          </w:p>
        </w:tc>
        <w:tc>
          <w:tcPr>
            <w:tcW w:w="140" w:type="dxa"/>
            <w:vAlign w:val="bottom"/>
          </w:tcPr>
          <w:p>
            <w:pPr>
              <w:spacing w:after="0"/>
              <w:rPr>
                <w:sz w:val="24"/>
                <w:szCs w:val="24"/>
                <w:color w:val="auto"/>
              </w:rPr>
            </w:pPr>
          </w:p>
        </w:tc>
        <w:tc>
          <w:tcPr>
            <w:tcW w:w="1680" w:type="dxa"/>
            <w:vAlign w:val="bottom"/>
          </w:tcPr>
          <w:p>
            <w:pPr>
              <w:ind w:left="1460"/>
              <w:spacing w:after="0"/>
              <w:rPr>
                <w:sz w:val="20"/>
                <w:szCs w:val="20"/>
                <w:color w:val="auto"/>
              </w:rPr>
            </w:pPr>
            <w:r>
              <w:rPr>
                <w:rFonts w:ascii="Arial" w:cs="Arial" w:eastAsia="Arial" w:hAnsi="Arial"/>
                <w:sz w:val="14"/>
                <w:szCs w:val="14"/>
                <w:color w:val="auto"/>
              </w:rPr>
              <w:t>—</w:t>
            </w:r>
          </w:p>
        </w:tc>
      </w:tr>
      <w:tr>
        <w:trPr>
          <w:trHeight w:val="149"/>
        </w:trPr>
        <w:tc>
          <w:tcPr>
            <w:tcW w:w="262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Vice President of</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4"/>
        </w:trPr>
        <w:tc>
          <w:tcPr>
            <w:tcW w:w="2620" w:type="dxa"/>
            <w:vAlign w:val="bottom"/>
            <w:tcBorders>
              <w:bottom w:val="single" w:sz="8" w:color="auto"/>
            </w:tcBorders>
          </w:tcPr>
          <w:p>
            <w:pPr>
              <w:ind w:left="240"/>
              <w:spacing w:after="0"/>
              <w:rPr>
                <w:sz w:val="20"/>
                <w:szCs w:val="20"/>
                <w:color w:val="auto"/>
              </w:rPr>
            </w:pPr>
            <w:r>
              <w:rPr>
                <w:rFonts w:ascii="Arial" w:cs="Arial" w:eastAsia="Arial" w:hAnsi="Arial"/>
                <w:sz w:val="14"/>
                <w:szCs w:val="14"/>
                <w:i w:val="1"/>
                <w:iCs w:val="1"/>
                <w:color w:val="auto"/>
              </w:rPr>
              <w:t>Marketing</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bl>
    <w:p>
      <w:pPr>
        <w:spacing w:after="0" w:line="22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 equal to 299% of annual base salary.</w:t>
      </w:r>
    </w:p>
    <w:p>
      <w:pPr>
        <w:ind w:left="340" w:hanging="332"/>
        <w:spacing w:after="0" w:line="216"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 equal to 299% of highest bonus paid during the employee′s tenure with the Company.</w:t>
      </w:r>
    </w:p>
    <w:p>
      <w:pPr>
        <w:ind w:left="340" w:hanging="332"/>
        <w:spacing w:after="0" w:line="216"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 equal to the cost of continued medical and dental coverage for 18 months, increased for the employee′s taxes on the payment.</w:t>
      </w:r>
    </w:p>
    <w:p>
      <w:pPr>
        <w:ind w:left="340" w:hanging="332"/>
        <w:spacing w:after="0" w:line="216"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value of the stock awards is based on our December 31, 2009 closing stock price of $40.57 per share.</w:t>
      </w:r>
    </w:p>
    <w:p>
      <w:pPr>
        <w:ind w:left="340" w:hanging="332"/>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 excise tax would be triggered based upon a hypothetical change in control as of December 31, 2009.</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and Fees</w:t>
      </w:r>
    </w:p>
    <w:p>
      <w:pPr>
        <w:spacing w:after="0" w:line="25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have retained Ernst &amp; Young LLP as our registered public accounting firm, as recommended by the audit committee and approved by the Board of Directors. The table set forth below indicates the amounts billed by Ernst &amp; Young LLP during 2008 and 2009 for services provided to us.</w:t>
      </w:r>
    </w:p>
    <w:p>
      <w:pPr>
        <w:spacing w:after="0" w:line="165" w:lineRule="exact"/>
        <w:rPr>
          <w:sz w:val="20"/>
          <w:szCs w:val="20"/>
          <w:color w:val="auto"/>
        </w:rPr>
      </w:pPr>
    </w:p>
    <w:tbl>
      <w:tblPr>
        <w:tblLayout w:type="fixed"/>
        <w:tblInd w:w="3440" w:type="dxa"/>
        <w:tblCellMar>
          <w:top w:w="0" w:type="dxa"/>
          <w:left w:w="0" w:type="dxa"/>
          <w:bottom w:w="0" w:type="dxa"/>
          <w:right w:w="0" w:type="dxa"/>
        </w:tblCellMar>
      </w:tblPr>
      <w:tr>
        <w:trPr>
          <w:trHeight w:val="219"/>
        </w:trPr>
        <w:tc>
          <w:tcPr>
            <w:tcW w:w="1400" w:type="dxa"/>
            <w:vAlign w:val="bottom"/>
            <w:vMerge w:val="restart"/>
          </w:tcPr>
          <w:p>
            <w:pPr>
              <w:spacing w:after="0"/>
              <w:rPr>
                <w:sz w:val="20"/>
                <w:szCs w:val="20"/>
                <w:color w:val="auto"/>
              </w:rPr>
            </w:pPr>
            <w:r>
              <w:rPr>
                <w:rFonts w:ascii="Arial" w:cs="Arial" w:eastAsia="Arial" w:hAnsi="Arial"/>
                <w:sz w:val="14"/>
                <w:szCs w:val="14"/>
                <w:color w:val="auto"/>
              </w:rPr>
              <w:t>Audit fees</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2008</w:t>
            </w:r>
            <w:r>
              <w:rPr>
                <w:rFonts w:ascii="Arial" w:cs="Arial" w:eastAsia="Arial" w:hAnsi="Arial"/>
                <w:sz w:val="10"/>
                <w:szCs w:val="10"/>
                <w:b w:val="1"/>
                <w:bCs w:val="1"/>
                <w:color w:val="auto"/>
              </w:rPr>
              <w:t>(3)</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30"/>
        </w:trPr>
        <w:tc>
          <w:tcPr>
            <w:tcW w:w="1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1,578,846</w:t>
            </w:r>
          </w:p>
        </w:tc>
        <w:tc>
          <w:tcPr>
            <w:tcW w:w="740" w:type="dxa"/>
            <w:vAlign w:val="bottom"/>
          </w:tcPr>
          <w:p>
            <w:pPr>
              <w:spacing w:after="0"/>
              <w:rPr>
                <w:sz w:val="11"/>
                <w:szCs w:val="11"/>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810,000</w:t>
            </w: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Audit related fees</w:t>
            </w:r>
            <w:r>
              <w:rPr>
                <w:rFonts w:ascii="Arial" w:cs="Arial" w:eastAsia="Arial" w:hAnsi="Arial"/>
                <w:sz w:val="10"/>
                <w:szCs w:val="10"/>
                <w:color w:val="auto"/>
              </w:rPr>
              <w:t>(1)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181,628</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34,660</w:t>
            </w:r>
          </w:p>
        </w:tc>
        <w:tc>
          <w:tcPr>
            <w:tcW w:w="0" w:type="dxa"/>
            <w:vAlign w:val="bottom"/>
          </w:tcPr>
          <w:p>
            <w:pPr>
              <w:spacing w:after="0"/>
              <w:rPr>
                <w:sz w:val="1"/>
                <w:szCs w:val="1"/>
                <w:color w:val="auto"/>
              </w:rPr>
            </w:pPr>
          </w:p>
        </w:tc>
      </w:tr>
      <w:tr>
        <w:trPr>
          <w:trHeight w:val="149"/>
        </w:trPr>
        <w:tc>
          <w:tcPr>
            <w:tcW w:w="1400" w:type="dxa"/>
            <w:vAlign w:val="bottom"/>
          </w:tcPr>
          <w:p>
            <w:pPr>
              <w:spacing w:after="0" w:line="149" w:lineRule="exact"/>
              <w:rPr>
                <w:sz w:val="20"/>
                <w:szCs w:val="20"/>
                <w:color w:val="auto"/>
              </w:rPr>
            </w:pPr>
            <w:r>
              <w:rPr>
                <w:rFonts w:ascii="Arial" w:cs="Arial" w:eastAsia="Arial" w:hAnsi="Arial"/>
                <w:sz w:val="14"/>
                <w:szCs w:val="14"/>
                <w:color w:val="auto"/>
              </w:rPr>
              <w:t>Tax fees</w:t>
            </w:r>
            <w:r>
              <w:rPr>
                <w:rFonts w:ascii="Arial" w:cs="Arial" w:eastAsia="Arial" w:hAnsi="Arial"/>
                <w:sz w:val="10"/>
                <w:szCs w:val="10"/>
                <w:color w:val="auto"/>
              </w:rPr>
              <w:t>(2)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1400" w:type="dxa"/>
            <w:vAlign w:val="bottom"/>
          </w:tcPr>
          <w:p>
            <w:pPr>
              <w:spacing w:after="0" w:line="147" w:lineRule="exact"/>
              <w:rPr>
                <w:sz w:val="20"/>
                <w:szCs w:val="20"/>
                <w:color w:val="auto"/>
              </w:rPr>
            </w:pPr>
            <w:r>
              <w:rPr>
                <w:rFonts w:ascii="Arial" w:cs="Arial" w:eastAsia="Arial" w:hAnsi="Arial"/>
                <w:sz w:val="14"/>
                <w:szCs w:val="14"/>
                <w:color w:val="auto"/>
              </w:rPr>
              <w:t>All other fees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26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1,790,474</w:t>
            </w:r>
          </w:p>
        </w:tc>
        <w:tc>
          <w:tcPr>
            <w:tcW w:w="74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844,660</w:t>
            </w:r>
          </w:p>
        </w:tc>
        <w:tc>
          <w:tcPr>
            <w:tcW w:w="0" w:type="dxa"/>
            <w:vAlign w:val="bottom"/>
          </w:tcPr>
          <w:p>
            <w:pPr>
              <w:spacing w:after="0"/>
              <w:rPr>
                <w:sz w:val="1"/>
                <w:szCs w:val="1"/>
                <w:color w:val="auto"/>
              </w:rPr>
            </w:pPr>
          </w:p>
        </w:tc>
      </w:tr>
      <w:tr>
        <w:trPr>
          <w:trHeight w:val="21"/>
        </w:trPr>
        <w:tc>
          <w:tcPr>
            <w:tcW w:w="140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5151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Audit related fees consist of fees for assurance and related services that are reasonably related to the performance of the audit or review of our financial statements.</w:t>
      </w:r>
    </w:p>
    <w:p>
      <w:pPr>
        <w:ind w:left="380" w:hanging="372"/>
        <w:spacing w:after="0" w:line="216" w:lineRule="auto"/>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Tax fees include fees for tax compliance, tax advice and tax planning. The Audit Committee does not believe these services have impacted Ernst &amp; Young LLP′s independence.</w:t>
      </w:r>
    </w:p>
    <w:p>
      <w:pPr>
        <w:ind w:left="380" w:hanging="372"/>
        <w:spacing w:after="0"/>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2008 includes fees incurred by Bois d′Arc Energy, Inc., previously our majority owned subsidiary.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Policy and Procedures</w:t>
      </w:r>
    </w:p>
    <w:p>
      <w:pPr>
        <w:spacing w:after="0" w:line="25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audit committee′s policy is to pre-approve all audit and permissible non-audit services provided by the independent registered public accounting firm. These services may include audit services, audit related services, tax services and other services. Pre-approval is detailed as to the particular service or category of service and is subject to a specific engagement authorization. The audit committee requires the independent registered public accounting firm and management to report on the actual fees charged for each category of service at audit committee meetings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9" w:name="page30"/>
    <w:bookmarkEnd w:id="29"/>
    <w:p>
      <w:pPr>
        <w:jc w:val="both"/>
        <w:ind w:firstLine="324"/>
        <w:spacing w:after="0" w:line="259" w:lineRule="auto"/>
        <w:rPr>
          <w:sz w:val="20"/>
          <w:szCs w:val="20"/>
          <w:color w:val="auto"/>
        </w:rPr>
      </w:pPr>
      <w:r>
        <w:rPr>
          <w:rFonts w:ascii="Arial" w:cs="Arial" w:eastAsia="Arial" w:hAnsi="Arial"/>
          <w:sz w:val="18"/>
          <w:szCs w:val="18"/>
          <w:color w:val="auto"/>
        </w:rPr>
        <w:t>During the year, circumstances may arise when it becomes necessary to engage the independent registered public accounting firm for additional services not contemplated in the original pre-approval. In those instances, the audit committee requires specific pre-approval authority from the chairman of the audit committee, who must report on such approvals at the next scheduled audit committee meeting. All fiscal year 2009 audit and non-audit services provided by the independent registered public accounting firm were pre-approved.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stockholder who desires to submit a proposal for presentation at our 2011 Annual Meeting of Stockholders and wishes to have such proposal included in our proxy materials must submit the proposal to us at our principal executive offices no later than December 20, 2010 unless we notify the stockholder otherwise. Only those proposals that are timely received by our Corporate Secretary and proper for stockholder action (and otherwise proper) will be included in our proxy materials.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Written request for inclusion of any stockholder proposal should be addressed to: Roland O. Burns, Corporate Secretary, Comstock Resources, Inc., 5300 Town and Country Blvd., Suite 500, Frisco, Texas 75034. We recommend that such proposal be sent by certified mail, return receipt requested. Any stockholder who intends to bring business to the 2011 Annual Meeting of Stockholders, but not include the business in our proxy statement, must give written notice to our corporate secretary at the address set forth above by March 5, 2011.</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stockholder proposals submitted for the 2010 Annual Meeting.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Interested parties may communicate directly with the entire Board of Directors or with our outside directors by submitting a letter addressed to the member or members of the Board of Directors to whom the communication is addressed, to Roland O. Burns, Corporate Secretary, Comstock Resources, Inc., 5300 Town and Country Blvd., Suite 500, Frisco, Texas, 75034. All such communications, other than unsolicited commercial solicitations or communications, will be forwarded to the appropriate director for review.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Annual Report on Form 10-K for the fiscal year ended December 31, 2009, as filed with the SEC, will be sent to any stockholder without charge upon request. You may forward written requests to Investor Relations, Comstock Resources, Inc., 5300 Town and Country Blvd., Suite 500, Frisco, Texas 75034. Oral requests may be made by calling our principal executive offices at (800) 877-1322. Our Annual Report on Form 10-K is also available on the SEC′s website www.sec.gov and our website www.comstockresources.com.</w:t>
      </w:r>
    </w:p>
    <w:p>
      <w:pPr>
        <w:spacing w:after="0" w:line="21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169545</wp:posOffset>
            </wp:positionV>
            <wp:extent cx="128651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651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Frisco, Texas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April 19,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22"/>
          <w:szCs w:val="22"/>
          <w:b w:val="1"/>
          <w:bCs w:val="1"/>
          <w:color w:val="auto"/>
        </w:rPr>
        <w:t>COMSTOCK RESOURCES,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ANNUAL MEETING OF STOCKHOLDERS</w:t>
      </w:r>
    </w:p>
    <w:p>
      <w:pPr>
        <w:jc w:val="center"/>
        <w:ind w:right="-20"/>
        <w:spacing w:after="0" w:line="232" w:lineRule="auto"/>
        <w:rPr>
          <w:sz w:val="20"/>
          <w:szCs w:val="20"/>
          <w:color w:val="auto"/>
        </w:rPr>
      </w:pPr>
      <w:r>
        <w:rPr>
          <w:rFonts w:ascii="Arial" w:cs="Arial" w:eastAsia="Arial" w:hAnsi="Arial"/>
          <w:sz w:val="22"/>
          <w:szCs w:val="22"/>
          <w:b w:val="1"/>
          <w:bCs w:val="1"/>
          <w:color w:val="auto"/>
        </w:rPr>
        <w:t>May 18, 2010</w:t>
      </w:r>
    </w:p>
    <w:p>
      <w:pPr>
        <w:jc w:val="center"/>
        <w:ind w:right="-20"/>
        <w:spacing w:after="0" w:line="230" w:lineRule="auto"/>
        <w:rPr>
          <w:sz w:val="20"/>
          <w:szCs w:val="20"/>
          <w:color w:val="auto"/>
        </w:rPr>
      </w:pPr>
      <w:r>
        <w:rPr>
          <w:rFonts w:ascii="Arial" w:cs="Arial" w:eastAsia="Arial" w:hAnsi="Arial"/>
          <w:sz w:val="22"/>
          <w:szCs w:val="22"/>
          <w:b w:val="1"/>
          <w:bCs w:val="1"/>
          <w:color w:val="auto"/>
        </w:rPr>
        <w:t>10:00 a.m.</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at the Company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-3175</wp:posOffset>
            </wp:positionV>
            <wp:extent cx="5608320" cy="5505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08320" cy="550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Directions to</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Comstock Resources, Inc.</w:t>
      </w:r>
    </w:p>
    <w:p>
      <w:pPr>
        <w:jc w:val="center"/>
        <w:ind w:right="-20"/>
        <w:spacing w:after="0" w:line="230" w:lineRule="auto"/>
        <w:rPr>
          <w:sz w:val="20"/>
          <w:szCs w:val="20"/>
          <w:color w:val="auto"/>
        </w:rPr>
      </w:pPr>
      <w:r>
        <w:rPr>
          <w:rFonts w:ascii="Arial" w:cs="Arial" w:eastAsia="Arial" w:hAnsi="Arial"/>
          <w:sz w:val="22"/>
          <w:szCs w:val="22"/>
          <w:b w:val="1"/>
          <w:bCs w:val="1"/>
          <w:color w:val="auto"/>
        </w:rPr>
        <w:t>5300 Town and Country Blvd., Suite 300</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Frisco, Texas 75034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465455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261"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217805</wp:posOffset>
            </wp:positionH>
            <wp:positionV relativeFrom="page">
              <wp:posOffset>243205</wp:posOffset>
            </wp:positionV>
            <wp:extent cx="2615565" cy="926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261556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COMSTOCK RESOURCES, INC.</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5300 TOWN AND COUNTRY BLVD.</w:t>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SUITE 500</w:t>
      </w:r>
    </w:p>
    <w:p>
      <w:pPr>
        <w:spacing w:after="0" w:line="1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FRISCO, TX 75034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4"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80" w:space="720"/>
            <w:col w:w="5720"/>
          </w:cols>
          <w:pgMar w:left="240" w:top="360" w:right="239" w:bottom="1440" w:gutter="0" w:footer="0" w:header="0"/>
        </w:sectPr>
      </w:pPr>
    </w:p>
    <w:p>
      <w:pPr>
        <w:spacing w:after="0" w:line="233" w:lineRule="exact"/>
        <w:rPr>
          <w:sz w:val="20"/>
          <w:szCs w:val="20"/>
          <w:color w:val="auto"/>
        </w:rPr>
      </w:pPr>
    </w:p>
    <w:p>
      <w:pPr>
        <w:spacing w:after="0"/>
        <w:tabs>
          <w:tab w:leader="none" w:pos="7740" w:val="left"/>
        </w:tabs>
        <w:rPr>
          <w:sz w:val="20"/>
          <w:szCs w:val="20"/>
          <w:color w:val="auto"/>
        </w:rPr>
      </w:pPr>
      <w:r>
        <w:rPr>
          <w:rFonts w:ascii="Arial" w:cs="Arial" w:eastAsia="Arial" w:hAnsi="Arial"/>
          <w:sz w:val="14"/>
          <w:szCs w:val="14"/>
          <w:color w:val="auto"/>
        </w:rPr>
        <w:t>TO VOTE, MARK BLOCKS BELOW IN BLUE OR BLACK INK AS FOLLOWS:</w:t>
      </w:r>
      <w:r>
        <w:rPr>
          <w:sz w:val="20"/>
          <w:szCs w:val="20"/>
          <w:color w:val="auto"/>
        </w:rPr>
        <w:tab/>
      </w:r>
      <w:r>
        <w:rPr>
          <w:rFonts w:ascii="Arial" w:cs="Arial" w:eastAsia="Arial" w:hAnsi="Arial"/>
          <w:sz w:val="13"/>
          <w:szCs w:val="13"/>
          <w:color w:val="auto"/>
        </w:rPr>
        <w:t>KEEP THIS PORTION FOR YOUR RECORDS</w:t>
      </w:r>
    </w:p>
    <w:p>
      <w:pPr>
        <w:ind w:left="1220"/>
        <w:spacing w:after="0" w:line="221" w:lineRule="auto"/>
        <w:rPr>
          <w:sz w:val="20"/>
          <w:szCs w:val="20"/>
          <w:color w:val="auto"/>
        </w:rPr>
      </w:pPr>
      <w:r>
        <w:rPr>
          <w:rFonts w:ascii="Arial" w:cs="Arial" w:eastAsia="Arial" w:hAnsi="Arial"/>
          <w:sz w:val="14"/>
          <w:szCs w:val="14"/>
          <w:color w:val="auto"/>
        </w:rPr>
        <w:t>— — — — — — — — — — — — — — — — — — — — — — — — — — — — — — — — — — — — — — — — — — — — — — — — — —</w:t>
      </w:r>
    </w:p>
    <w:p>
      <w:pPr>
        <w:ind w:left="7760"/>
        <w:spacing w:after="0" w:line="221" w:lineRule="auto"/>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ind w:left="540"/>
              <w:spacing w:after="0"/>
              <w:rPr>
                <w:sz w:val="20"/>
                <w:szCs w:val="20"/>
                <w:color w:val="auto"/>
              </w:rPr>
            </w:pPr>
            <w:r>
              <w:rPr>
                <w:rFonts w:ascii="Arial" w:cs="Arial" w:eastAsia="Arial" w:hAnsi="Arial"/>
                <w:sz w:val="14"/>
                <w:szCs w:val="14"/>
                <w:color w:val="auto"/>
              </w:rPr>
              <w:t>x</w:t>
            </w:r>
          </w:p>
        </w:tc>
        <w:tc>
          <w:tcPr>
            <w:tcW w:w="2920" w:type="dxa"/>
            <w:vAlign w:val="bottom"/>
          </w:tcPr>
          <w:p>
            <w:pPr>
              <w:ind w:left="40"/>
              <w:spacing w:after="0"/>
              <w:rPr>
                <w:sz w:val="20"/>
                <w:szCs w:val="20"/>
                <w:color w:val="auto"/>
              </w:rPr>
            </w:pPr>
            <w:r>
              <w:rPr>
                <w:rFonts w:ascii="Arial" w:cs="Arial" w:eastAsia="Arial" w:hAnsi="Arial"/>
                <w:sz w:val="14"/>
                <w:szCs w:val="14"/>
                <w:color w:val="auto"/>
              </w:rPr>
              <w:t>PLEASE MARK YOUR VOTES</w:t>
            </w:r>
          </w:p>
        </w:tc>
        <w:tc>
          <w:tcPr>
            <w:tcW w:w="21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920" w:type="dxa"/>
            <w:vAlign w:val="bottom"/>
          </w:tcPr>
          <w:p>
            <w:pPr>
              <w:ind w:left="40"/>
              <w:spacing w:after="0"/>
              <w:rPr>
                <w:sz w:val="20"/>
                <w:szCs w:val="20"/>
                <w:color w:val="auto"/>
              </w:rPr>
            </w:pPr>
            <w:r>
              <w:rPr>
                <w:rFonts w:ascii="Arial" w:cs="Arial" w:eastAsia="Arial" w:hAnsi="Arial"/>
                <w:sz w:val="14"/>
                <w:szCs w:val="14"/>
                <w:color w:val="auto"/>
              </w:rPr>
              <w:t>AS IN THIS EXAMPLE</w:t>
            </w:r>
          </w:p>
        </w:tc>
        <w:tc>
          <w:tcPr>
            <w:tcW w:w="2180" w:type="dxa"/>
            <w:vAlign w:val="bottom"/>
          </w:tcPr>
          <w:p>
            <w:pPr>
              <w:spacing w:after="0"/>
              <w:rPr>
                <w:sz w:val="15"/>
                <w:szCs w:val="15"/>
                <w:color w:val="auto"/>
              </w:rPr>
            </w:pPr>
          </w:p>
        </w:tc>
        <w:tc>
          <w:tcPr>
            <w:tcW w:w="3880" w:type="dxa"/>
            <w:vAlign w:val="bottom"/>
            <w:vMerge w:val="restart"/>
          </w:tcPr>
          <w:p>
            <w:pPr>
              <w:jc w:val="center"/>
              <w:ind w:right="1488"/>
              <w:spacing w:after="0"/>
              <w:rPr>
                <w:sz w:val="20"/>
                <w:szCs w:val="20"/>
                <w:color w:val="auto"/>
              </w:rPr>
            </w:pPr>
            <w:r>
              <w:rPr>
                <w:rFonts w:ascii="Arial" w:cs="Arial" w:eastAsia="Arial" w:hAnsi="Arial"/>
                <w:sz w:val="14"/>
                <w:szCs w:val="14"/>
                <w:color w:val="auto"/>
              </w:rPr>
              <w:t>WITHHOLD</w:t>
            </w:r>
          </w:p>
        </w:tc>
        <w:tc>
          <w:tcPr>
            <w:tcW w:w="0" w:type="dxa"/>
            <w:vAlign w:val="bottom"/>
          </w:tcPr>
          <w:p>
            <w:pPr>
              <w:spacing w:after="0"/>
              <w:rPr>
                <w:sz w:val="1"/>
                <w:szCs w:val="1"/>
                <w:color w:val="auto"/>
              </w:rPr>
            </w:pPr>
          </w:p>
        </w:tc>
      </w:tr>
      <w:tr>
        <w:trPr>
          <w:trHeight w:val="115"/>
        </w:trPr>
        <w:tc>
          <w:tcPr>
            <w:tcW w:w="10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920" w:type="dxa"/>
            <w:vAlign w:val="bottom"/>
          </w:tcPr>
          <w:p>
            <w:pPr>
              <w:jc w:val="center"/>
              <w:ind w:left="928"/>
              <w:spacing w:after="0" w:line="149" w:lineRule="exact"/>
              <w:rPr>
                <w:sz w:val="20"/>
                <w:szCs w:val="20"/>
                <w:color w:val="auto"/>
              </w:rPr>
            </w:pPr>
            <w:r>
              <w:rPr>
                <w:rFonts w:ascii="Arial" w:cs="Arial" w:eastAsia="Arial" w:hAnsi="Arial"/>
                <w:sz w:val="14"/>
                <w:szCs w:val="14"/>
                <w:color w:val="auto"/>
              </w:rPr>
              <w:t>FOR ALL</w:t>
            </w:r>
          </w:p>
        </w:tc>
        <w:tc>
          <w:tcPr>
            <w:tcW w:w="2180" w:type="dxa"/>
            <w:vAlign w:val="bottom"/>
          </w:tcPr>
          <w:p>
            <w:pPr>
              <w:jc w:val="center"/>
              <w:ind w:left="68"/>
              <w:spacing w:after="0" w:line="149" w:lineRule="exact"/>
              <w:rPr>
                <w:sz w:val="20"/>
                <w:szCs w:val="20"/>
                <w:color w:val="auto"/>
              </w:rPr>
            </w:pPr>
            <w:r>
              <w:rPr>
                <w:rFonts w:ascii="Arial" w:cs="Arial" w:eastAsia="Arial" w:hAnsi="Arial"/>
                <w:sz w:val="14"/>
                <w:szCs w:val="14"/>
                <w:color w:val="auto"/>
              </w:rPr>
              <w:t>AUTHORITY FOR</w:t>
            </w:r>
          </w:p>
        </w:tc>
        <w:tc>
          <w:tcPr>
            <w:tcW w:w="3880" w:type="dxa"/>
            <w:vAlign w:val="bottom"/>
          </w:tcPr>
          <w:p>
            <w:pPr>
              <w:jc w:val="center"/>
              <w:ind w:right="1488"/>
              <w:spacing w:after="0" w:line="149" w:lineRule="exact"/>
              <w:rPr>
                <w:sz w:val="20"/>
                <w:szCs w:val="20"/>
                <w:color w:val="auto"/>
              </w:rPr>
            </w:pPr>
            <w:r>
              <w:rPr>
                <w:rFonts w:ascii="Arial" w:cs="Arial" w:eastAsia="Arial" w:hAnsi="Arial"/>
                <w:sz w:val="14"/>
                <w:szCs w:val="14"/>
                <w:color w:val="auto"/>
                <w:w w:val="98"/>
              </w:rPr>
              <w:t>FOR ALL EXCEPT</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2920" w:type="dxa"/>
            <w:vAlign w:val="bottom"/>
          </w:tcPr>
          <w:p>
            <w:pPr>
              <w:jc w:val="center"/>
              <w:ind w:left="948"/>
              <w:spacing w:after="0"/>
              <w:rPr>
                <w:sz w:val="20"/>
                <w:szCs w:val="20"/>
                <w:color w:val="auto"/>
              </w:rPr>
            </w:pPr>
            <w:r>
              <w:rPr>
                <w:rFonts w:ascii="Arial" w:cs="Arial" w:eastAsia="Arial" w:hAnsi="Arial"/>
                <w:sz w:val="14"/>
                <w:szCs w:val="14"/>
                <w:color w:val="auto"/>
                <w:w w:val="99"/>
              </w:rPr>
              <w:t>NOMINEES</w:t>
            </w:r>
          </w:p>
        </w:tc>
        <w:tc>
          <w:tcPr>
            <w:tcW w:w="2180" w:type="dxa"/>
            <w:vAlign w:val="bottom"/>
          </w:tcPr>
          <w:p>
            <w:pPr>
              <w:jc w:val="center"/>
              <w:ind w:left="48"/>
              <w:spacing w:after="0"/>
              <w:rPr>
                <w:sz w:val="20"/>
                <w:szCs w:val="20"/>
                <w:color w:val="auto"/>
              </w:rPr>
            </w:pPr>
            <w:r>
              <w:rPr>
                <w:rFonts w:ascii="Arial" w:cs="Arial" w:eastAsia="Arial" w:hAnsi="Arial"/>
                <w:sz w:val="14"/>
                <w:szCs w:val="14"/>
                <w:color w:val="auto"/>
              </w:rPr>
              <w:t>ALL NOMINEES</w:t>
            </w:r>
          </w:p>
        </w:tc>
        <w:tc>
          <w:tcPr>
            <w:tcW w:w="3880" w:type="dxa"/>
            <w:vAlign w:val="bottom"/>
          </w:tcPr>
          <w:p>
            <w:pPr>
              <w:jc w:val="center"/>
              <w:ind w:right="1488"/>
              <w:spacing w:after="0"/>
              <w:rPr>
                <w:sz w:val="20"/>
                <w:szCs w:val="20"/>
                <w:color w:val="auto"/>
              </w:rPr>
            </w:pPr>
            <w:r>
              <w:rPr>
                <w:rFonts w:ascii="Arial" w:cs="Arial" w:eastAsia="Arial" w:hAnsi="Arial"/>
                <w:sz w:val="14"/>
                <w:szCs w:val="14"/>
                <w:color w:val="auto"/>
                <w:w w:val="93"/>
              </w:rPr>
              <w:t>(See instructions below)</w:t>
            </w:r>
          </w:p>
        </w:tc>
        <w:tc>
          <w:tcPr>
            <w:tcW w:w="0" w:type="dxa"/>
            <w:vAlign w:val="bottom"/>
          </w:tcPr>
          <w:p>
            <w:pPr>
              <w:spacing w:after="0"/>
              <w:rPr>
                <w:sz w:val="1"/>
                <w:szCs w:val="1"/>
                <w:color w:val="auto"/>
              </w:rPr>
            </w:pPr>
          </w:p>
        </w:tc>
      </w:tr>
      <w:tr>
        <w:trPr>
          <w:trHeight w:val="358"/>
        </w:trPr>
        <w:tc>
          <w:tcPr>
            <w:tcW w:w="4000" w:type="dxa"/>
            <w:vAlign w:val="bottom"/>
            <w:gridSpan w:val="2"/>
          </w:tcPr>
          <w:p>
            <w:pPr>
              <w:spacing w:after="0"/>
              <w:rPr>
                <w:sz w:val="20"/>
                <w:szCs w:val="20"/>
                <w:color w:val="auto"/>
              </w:rPr>
            </w:pPr>
            <w:r>
              <w:rPr>
                <w:rFonts w:ascii="Arial" w:cs="Arial" w:eastAsia="Arial" w:hAnsi="Arial"/>
                <w:sz w:val="14"/>
                <w:szCs w:val="14"/>
                <w:color w:val="auto"/>
              </w:rPr>
              <w:t>The Board of Directors recommends</w:t>
            </w:r>
          </w:p>
        </w:tc>
        <w:tc>
          <w:tcPr>
            <w:tcW w:w="21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000" w:type="dxa"/>
            <w:vAlign w:val="bottom"/>
            <w:gridSpan w:val="2"/>
          </w:tcPr>
          <w:p>
            <w:pPr>
              <w:spacing w:after="0"/>
              <w:rPr>
                <w:sz w:val="20"/>
                <w:szCs w:val="20"/>
                <w:color w:val="auto"/>
              </w:rPr>
            </w:pPr>
            <w:r>
              <w:rPr>
                <w:rFonts w:ascii="Arial" w:cs="Arial" w:eastAsia="Arial" w:hAnsi="Arial"/>
                <w:sz w:val="14"/>
                <w:szCs w:val="14"/>
                <w:color w:val="auto"/>
              </w:rPr>
              <w:t>that you vote FOR the following:</w:t>
            </w:r>
          </w:p>
        </w:tc>
        <w:tc>
          <w:tcPr>
            <w:tcW w:w="21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1080" w:type="dxa"/>
            <w:vAlign w:val="bottom"/>
          </w:tcPr>
          <w:p>
            <w:pPr>
              <w:spacing w:after="0"/>
              <w:rPr>
                <w:sz w:val="20"/>
                <w:szCs w:val="20"/>
                <w:color w:val="auto"/>
              </w:rPr>
            </w:pPr>
            <w:r>
              <w:rPr>
                <w:rFonts w:ascii="Arial" w:cs="Arial" w:eastAsia="Arial" w:hAnsi="Arial"/>
                <w:sz w:val="14"/>
                <w:szCs w:val="14"/>
                <w:color w:val="auto"/>
                <w:w w:val="97"/>
              </w:rPr>
              <w:t>Vote on Directors</w:t>
            </w:r>
          </w:p>
        </w:tc>
        <w:tc>
          <w:tcPr>
            <w:tcW w:w="2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00" w:type="dxa"/>
            <w:vAlign w:val="bottom"/>
            <w:gridSpan w:val="2"/>
          </w:tcPr>
          <w:p>
            <w:pPr>
              <w:ind w:left="220"/>
              <w:spacing w:after="0"/>
              <w:rPr>
                <w:sz w:val="20"/>
                <w:szCs w:val="20"/>
                <w:color w:val="auto"/>
              </w:rPr>
            </w:pPr>
            <w:r>
              <w:rPr>
                <w:rFonts w:ascii="Arial" w:cs="Arial" w:eastAsia="Arial" w:hAnsi="Arial"/>
                <w:sz w:val="14"/>
                <w:szCs w:val="14"/>
                <w:color w:val="auto"/>
              </w:rPr>
              <w:t>1.   Election of</w:t>
            </w:r>
          </w:p>
        </w:tc>
        <w:tc>
          <w:tcPr>
            <w:tcW w:w="2180" w:type="dxa"/>
            <w:vAlign w:val="bottom"/>
          </w:tcPr>
          <w:p>
            <w:pPr>
              <w:spacing w:after="0"/>
              <w:rPr>
                <w:sz w:val="24"/>
                <w:szCs w:val="24"/>
                <w:color w:val="auto"/>
              </w:rPr>
            </w:pPr>
          </w:p>
        </w:tc>
        <w:tc>
          <w:tcPr>
            <w:tcW w:w="3880" w:type="dxa"/>
            <w:vAlign w:val="bottom"/>
          </w:tcPr>
          <w:p>
            <w:pPr>
              <w:ind w:left="2360"/>
              <w:spacing w:after="0"/>
              <w:rPr>
                <w:sz w:val="20"/>
                <w:szCs w:val="20"/>
                <w:color w:val="auto"/>
              </w:rPr>
            </w:pPr>
            <w:r>
              <w:rPr>
                <w:rFonts w:ascii="Arial" w:cs="Arial" w:eastAsia="Arial" w:hAnsi="Arial"/>
                <w:sz w:val="14"/>
                <w:szCs w:val="14"/>
                <w:color w:val="auto"/>
              </w:rPr>
              <w:t>NOMINEES:</w:t>
            </w:r>
          </w:p>
        </w:tc>
        <w:tc>
          <w:tcPr>
            <w:tcW w:w="0" w:type="dxa"/>
            <w:vAlign w:val="bottom"/>
          </w:tcPr>
          <w:p>
            <w:pPr>
              <w:spacing w:after="0"/>
              <w:rPr>
                <w:sz w:val="1"/>
                <w:szCs w:val="1"/>
                <w:color w:val="auto"/>
              </w:rPr>
            </w:pPr>
          </w:p>
        </w:tc>
      </w:tr>
      <w:tr>
        <w:trPr>
          <w:trHeight w:val="149"/>
        </w:trPr>
        <w:tc>
          <w:tcPr>
            <w:tcW w:w="40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Two (2) Class A</w:t>
            </w:r>
          </w:p>
        </w:tc>
        <w:tc>
          <w:tcPr>
            <w:tcW w:w="2180" w:type="dxa"/>
            <w:vAlign w:val="bottom"/>
          </w:tcPr>
          <w:p>
            <w:pPr>
              <w:spacing w:after="0"/>
              <w:rPr>
                <w:sz w:val="12"/>
                <w:szCs w:val="12"/>
                <w:color w:val="auto"/>
              </w:rPr>
            </w:pPr>
          </w:p>
        </w:tc>
        <w:tc>
          <w:tcPr>
            <w:tcW w:w="3880" w:type="dxa"/>
            <w:vAlign w:val="bottom"/>
          </w:tcPr>
          <w:p>
            <w:pPr>
              <w:ind w:left="2360"/>
              <w:spacing w:after="0" w:line="149" w:lineRule="exact"/>
              <w:rPr>
                <w:sz w:val="20"/>
                <w:szCs w:val="20"/>
                <w:color w:val="auto"/>
              </w:rPr>
            </w:pPr>
            <w:r>
              <w:rPr>
                <w:rFonts w:ascii="Arial" w:cs="Arial" w:eastAsia="Arial" w:hAnsi="Arial"/>
                <w:sz w:val="14"/>
                <w:szCs w:val="14"/>
                <w:color w:val="auto"/>
              </w:rPr>
              <w:t>01) Cecil E. Martin</w:t>
            </w:r>
          </w:p>
        </w:tc>
        <w:tc>
          <w:tcPr>
            <w:tcW w:w="0" w:type="dxa"/>
            <w:vAlign w:val="bottom"/>
          </w:tcPr>
          <w:p>
            <w:pPr>
              <w:spacing w:after="0"/>
              <w:rPr>
                <w:sz w:val="1"/>
                <w:szCs w:val="1"/>
                <w:color w:val="auto"/>
              </w:rPr>
            </w:pPr>
          </w:p>
        </w:tc>
      </w:tr>
      <w:tr>
        <w:trPr>
          <w:trHeight w:val="161"/>
        </w:trPr>
        <w:tc>
          <w:tcPr>
            <w:tcW w:w="4000" w:type="dxa"/>
            <w:vAlign w:val="bottom"/>
            <w:gridSpan w:val="2"/>
          </w:tcPr>
          <w:p>
            <w:pPr>
              <w:ind w:left="540"/>
              <w:spacing w:after="0"/>
              <w:rPr>
                <w:sz w:val="20"/>
                <w:szCs w:val="20"/>
                <w:color w:val="auto"/>
              </w:rPr>
            </w:pPr>
            <w:r>
              <w:rPr>
                <w:rFonts w:ascii="Arial" w:cs="Arial" w:eastAsia="Arial" w:hAnsi="Arial"/>
                <w:sz w:val="14"/>
                <w:szCs w:val="14"/>
                <w:color w:val="auto"/>
              </w:rPr>
              <w:t>Directors (term</w:t>
            </w:r>
          </w:p>
        </w:tc>
        <w:tc>
          <w:tcPr>
            <w:tcW w:w="2180" w:type="dxa"/>
            <w:vAlign w:val="bottom"/>
          </w:tcPr>
          <w:p>
            <w:pPr>
              <w:spacing w:after="0"/>
              <w:rPr>
                <w:sz w:val="13"/>
                <w:szCs w:val="13"/>
                <w:color w:val="auto"/>
              </w:rPr>
            </w:pPr>
          </w:p>
        </w:tc>
        <w:tc>
          <w:tcPr>
            <w:tcW w:w="3880" w:type="dxa"/>
            <w:vAlign w:val="bottom"/>
          </w:tcPr>
          <w:p>
            <w:pPr>
              <w:ind w:left="2360"/>
              <w:spacing w:after="0"/>
              <w:rPr>
                <w:sz w:val="20"/>
                <w:szCs w:val="20"/>
                <w:color w:val="auto"/>
              </w:rPr>
            </w:pPr>
            <w:r>
              <w:rPr>
                <w:rFonts w:ascii="Arial" w:cs="Arial" w:eastAsia="Arial" w:hAnsi="Arial"/>
                <w:sz w:val="14"/>
                <w:szCs w:val="14"/>
                <w:color w:val="auto"/>
                <w:w w:val="95"/>
              </w:rPr>
              <w:t>02) Nancy E. Underwood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ind w:left="540"/>
              <w:spacing w:after="0"/>
              <w:rPr>
                <w:sz w:val="20"/>
                <w:szCs w:val="20"/>
                <w:color w:val="auto"/>
              </w:rPr>
            </w:pPr>
            <w:r>
              <w:rPr>
                <w:rFonts w:ascii="Arial" w:cs="Arial" w:eastAsia="Arial" w:hAnsi="Arial"/>
                <w:sz w:val="14"/>
                <w:szCs w:val="14"/>
                <w:color w:val="auto"/>
              </w:rPr>
              <w:t>expires in 2013):</w:t>
            </w:r>
          </w:p>
        </w:tc>
        <w:tc>
          <w:tcPr>
            <w:tcW w:w="1860" w:type="dxa"/>
            <w:vAlign w:val="bottom"/>
          </w:tcPr>
          <w:p>
            <w:pPr>
              <w:jc w:val="right"/>
              <w:ind w:right="608"/>
              <w:spacing w:after="0"/>
              <w:rPr>
                <w:sz w:val="20"/>
                <w:szCs w:val="20"/>
                <w:color w:val="auto"/>
              </w:rPr>
            </w:pPr>
            <w:r>
              <w:rPr>
                <w:rFonts w:ascii="Arial" w:cs="Arial" w:eastAsia="Arial" w:hAnsi="Arial"/>
                <w:sz w:val="14"/>
                <w:szCs w:val="14"/>
                <w:color w:val="auto"/>
              </w:rPr>
              <w:t>_______</w:t>
            </w:r>
          </w:p>
        </w:tc>
        <w:tc>
          <w:tcPr>
            <w:tcW w:w="2340" w:type="dxa"/>
            <w:vAlign w:val="bottom"/>
          </w:tcPr>
          <w:p>
            <w:pPr>
              <w:jc w:val="right"/>
              <w:ind w:right="1048"/>
              <w:spacing w:after="0"/>
              <w:rPr>
                <w:sz w:val="20"/>
                <w:szCs w:val="20"/>
                <w:color w:val="auto"/>
              </w:rPr>
            </w:pPr>
            <w:r>
              <w:rPr>
                <w:rFonts w:ascii="Arial" w:cs="Arial" w:eastAsia="Arial" w:hAnsi="Arial"/>
                <w:sz w:val="14"/>
                <w:szCs w:val="14"/>
                <w:color w:val="auto"/>
              </w:rPr>
              <w:t>_______</w:t>
            </w:r>
          </w:p>
        </w:tc>
        <w:tc>
          <w:tcPr>
            <w:tcW w:w="200" w:type="dxa"/>
            <w:vAlign w:val="bottom"/>
          </w:tcPr>
          <w:p>
            <w:pPr>
              <w:spacing w:after="0"/>
              <w:rPr>
                <w:sz w:val="15"/>
                <w:szCs w:val="15"/>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4"/>
                <w:szCs w:val="14"/>
                <w:color w:val="auto"/>
              </w:rPr>
              <w:t>_______</w:t>
            </w:r>
          </w:p>
        </w:tc>
        <w:tc>
          <w:tcPr>
            <w:tcW w:w="440" w:type="dxa"/>
            <w:vAlign w:val="bottom"/>
          </w:tcPr>
          <w:p>
            <w:pPr>
              <w:spacing w:after="0"/>
              <w:rPr>
                <w:sz w:val="15"/>
                <w:szCs w:val="15"/>
                <w:color w:val="auto"/>
              </w:rPr>
            </w:pPr>
          </w:p>
        </w:tc>
      </w:tr>
      <w:tr>
        <w:trPr>
          <w:trHeight w:val="346"/>
        </w:trPr>
        <w:tc>
          <w:tcPr>
            <w:tcW w:w="7920" w:type="dxa"/>
            <w:vAlign w:val="bottom"/>
            <w:gridSpan w:val="7"/>
          </w:tcPr>
          <w:p>
            <w:pPr>
              <w:ind w:left="1060"/>
              <w:spacing w:after="0"/>
              <w:rPr>
                <w:sz w:val="20"/>
                <w:szCs w:val="20"/>
                <w:color w:val="auto"/>
              </w:rPr>
            </w:pPr>
            <w:r>
              <w:rPr>
                <w:rFonts w:ascii="Arial" w:cs="Arial" w:eastAsia="Arial" w:hAnsi="Arial"/>
                <w:sz w:val="14"/>
                <w:szCs w:val="14"/>
                <w:color w:val="auto"/>
              </w:rPr>
              <w:t>INSTRUCTION: To withhold authority to vote for any individual nominee(s), mark ″FOR ALL EXCEPT″</w:t>
            </w:r>
          </w:p>
        </w:tc>
        <w:tc>
          <w:tcPr>
            <w:tcW w:w="440" w:type="dxa"/>
            <w:vAlign w:val="bottom"/>
          </w:tcPr>
          <w:p>
            <w:pPr>
              <w:spacing w:after="0"/>
              <w:rPr>
                <w:sz w:val="24"/>
                <w:szCs w:val="24"/>
                <w:color w:val="auto"/>
              </w:rPr>
            </w:pPr>
          </w:p>
        </w:tc>
      </w:tr>
      <w:tr>
        <w:trPr>
          <w:trHeight w:val="182"/>
        </w:trPr>
        <w:tc>
          <w:tcPr>
            <w:tcW w:w="6380" w:type="dxa"/>
            <w:vAlign w:val="bottom"/>
            <w:gridSpan w:val="3"/>
          </w:tcPr>
          <w:p>
            <w:pPr>
              <w:ind w:left="1060"/>
              <w:spacing w:after="0"/>
              <w:rPr>
                <w:sz w:val="20"/>
                <w:szCs w:val="20"/>
                <w:color w:val="auto"/>
              </w:rPr>
            </w:pPr>
            <w:r>
              <w:rPr>
                <w:rFonts w:ascii="Arial" w:cs="Arial" w:eastAsia="Arial" w:hAnsi="Arial"/>
                <w:sz w:val="14"/>
                <w:szCs w:val="14"/>
                <w:color w:val="auto"/>
              </w:rPr>
              <w:t>and circle the number next to each nominee you wish to withhold.</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63"/>
        </w:trPr>
        <w:tc>
          <w:tcPr>
            <w:tcW w:w="2180" w:type="dxa"/>
            <w:vAlign w:val="bottom"/>
          </w:tcPr>
          <w:p>
            <w:pPr>
              <w:spacing w:after="0"/>
              <w:rPr>
                <w:sz w:val="20"/>
                <w:szCs w:val="20"/>
                <w:color w:val="auto"/>
              </w:rPr>
            </w:pPr>
            <w:r>
              <w:rPr>
                <w:rFonts w:ascii="Arial" w:cs="Arial" w:eastAsia="Arial" w:hAnsi="Arial"/>
                <w:sz w:val="14"/>
                <w:szCs w:val="14"/>
                <w:color w:val="auto"/>
              </w:rPr>
              <w:t>Vote on Proposals</w:t>
            </w:r>
          </w:p>
        </w:tc>
        <w:tc>
          <w:tcPr>
            <w:tcW w:w="1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For</w:t>
            </w:r>
          </w:p>
        </w:tc>
        <w:tc>
          <w:tcPr>
            <w:tcW w:w="38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Against</w:t>
            </w:r>
          </w:p>
        </w:tc>
        <w:tc>
          <w:tcPr>
            <w:tcW w:w="50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Abstain</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recommends you vote FOR the following proposals:</w:t>
      </w:r>
    </w:p>
    <w:p>
      <w:pPr>
        <w:spacing w:after="0" w:line="136" w:lineRule="exact"/>
        <w:rPr>
          <w:sz w:val="20"/>
          <w:szCs w:val="20"/>
          <w:color w:val="auto"/>
        </w:rPr>
      </w:pPr>
    </w:p>
    <w:p>
      <w:pPr>
        <w:ind w:left="580" w:right="5780" w:hanging="336"/>
        <w:spacing w:after="0" w:line="230" w:lineRule="auto"/>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Proposal to ratify the appointment of Ernst &amp; Young LLP independent registered public accounting firm for 2010.</w:t>
      </w:r>
    </w:p>
    <w:p>
      <w:pPr>
        <w:ind w:left="580" w:right="5820" w:hanging="336"/>
        <w:spacing w:after="0" w:line="237" w:lineRule="auto"/>
        <w:tabs>
          <w:tab w:leader="none" w:pos="5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their discretion on such other business which may properly come before the meeting or any adjournment thereof.</w:t>
      </w:r>
    </w:p>
    <w:p>
      <w:pPr>
        <w:spacing w:after="0" w:line="210"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THIS PROXY, WHEN PROPERLY EXECUTED, WILL BE VOTED IN THE MANNER DIRECTED HEREIN BY THE UNDERSIGNED. IF NO DIRECTION IS MADE, THIS PROXY WILL BE VOTED FOR PROPOSALS 1, 2, and 3.</w:t>
      </w:r>
    </w:p>
    <w:p>
      <w:pPr>
        <w:spacing w:after="0" w:line="201" w:lineRule="exact"/>
        <w:rPr>
          <w:sz w:val="20"/>
          <w:szCs w:val="20"/>
          <w:color w:val="auto"/>
        </w:rPr>
      </w:pPr>
    </w:p>
    <w:p>
      <w:pPr>
        <w:jc w:val="both"/>
        <w:ind w:right="20"/>
        <w:spacing w:after="0" w:line="291" w:lineRule="auto"/>
        <w:rPr>
          <w:sz w:val="20"/>
          <w:szCs w:val="20"/>
          <w:color w:val="auto"/>
        </w:rPr>
      </w:pPr>
      <w:r>
        <w:rPr>
          <w:rFonts w:ascii="Arial" w:cs="Arial" w:eastAsia="Arial" w:hAnsi="Arial"/>
          <w:sz w:val="13"/>
          <w:szCs w:val="13"/>
          <w:color w:val="auto"/>
        </w:rPr>
        <w:t>NOTE: Please sign exactly as your name(s) appear(s) on this Proxy. When signing as attorney executor, administrator, or other fiduciary, please give full title as such. Joint owners should each sign personally. All holders must sign. If a corporation, please sign in full corporate name by president or other authorized officer. If a partnership, please sign in partnership name by authorized person.</w:t>
      </w:r>
    </w:p>
    <w:p>
      <w:pPr>
        <w:spacing w:after="0" w:line="191" w:lineRule="exact"/>
        <w:rPr>
          <w:sz w:val="20"/>
          <w:szCs w:val="20"/>
          <w:color w:val="auto"/>
        </w:rPr>
      </w:pPr>
    </w:p>
    <w:p>
      <w:pPr>
        <w:spacing w:after="0"/>
        <w:tabs>
          <w:tab w:leader="none" w:pos="5860" w:val="left"/>
          <w:tab w:leader="none" w:pos="6100" w:val="left"/>
          <w:tab w:leader="none" w:pos="6340" w:val="left"/>
          <w:tab w:leader="none" w:pos="7360" w:val="left"/>
        </w:tabs>
        <w:rPr>
          <w:sz w:val="20"/>
          <w:szCs w:val="20"/>
          <w:color w:val="auto"/>
        </w:rPr>
      </w:pPr>
      <w:r>
        <w:rPr>
          <w:rFonts w:ascii="Arial" w:cs="Arial" w:eastAsia="Arial" w:hAnsi="Arial"/>
          <w:sz w:val="14"/>
          <w:szCs w:val="14"/>
          <w:color w:val="auto"/>
        </w:rPr>
        <w:t>SIGNATURE(S)</w:t>
      </w:r>
      <w:r>
        <w:rPr>
          <w:sz w:val="20"/>
          <w:szCs w:val="20"/>
          <w:color w:val="auto"/>
        </w:rPr>
        <w:tab/>
      </w:r>
      <w:r>
        <w:rPr>
          <w:rFonts w:ascii="Arial" w:cs="Arial" w:eastAsia="Arial" w:hAnsi="Arial"/>
          <w:sz w:val="14"/>
          <w:szCs w:val="14"/>
          <w:color w:val="auto"/>
        </w:rPr>
        <w:t>6</w:t>
        <w:tab/>
        <w:t>0</w:t>
        <w:tab/>
        <w:t>;</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ANNUAL MEETING OF STOCKHOLDERS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COMSTOCK RESOURCES,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18, 2010</w:t>
      </w:r>
    </w:p>
    <w:p>
      <w:pPr>
        <w:spacing w:after="0" w:line="23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Your vote is important.</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Thank you for voting.</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(Complete and mail the proxy card only if you do not vote by phone or internet.)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Proxy Card must be signed and dated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Notice and Proxy Statement and Annual Report are available at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www.comstockresources.com and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Please fold and detach card at perforation before mailing \*/</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 — — — — — —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COMSTOCK RESOURCES,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PROXY IS SOLICITED BY THE BOARD OF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ANNUAL MEETING OF STOCKHOLDERS – MAY 18, 2010</w:t>
      </w:r>
    </w:p>
    <w:p>
      <w:pPr>
        <w:spacing w:after="0" w:line="200" w:lineRule="exact"/>
        <w:rPr>
          <w:sz w:val="20"/>
          <w:szCs w:val="20"/>
          <w:color w:val="auto"/>
        </w:rPr>
      </w:pPr>
    </w:p>
    <w:p>
      <w:pPr>
        <w:spacing w:after="0" w:line="2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undersigned hereby appoints M. Jay Allison and Roland O. Burns, and each of them with full power of substitution, attorneys, agents and proxies of the undersigned to vote as directed on the reverse side the shares of stock which the undersigned would be entitled to vote, if personally present, at the Annual Meeting of Stockholders of Comstock Resources, Inc. to be held Tuesday, May 18, 2010 at 10:00 a.m. and any adjournment or adjournments thereof.</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undersigned hereby revokes any proxy or proxies heretofore given to vote upon or act with respect to such shares of stock and hereby ratifies and confirms all that said attorneys, their substitutes, or any of them, may lawfully do by virtue hereof.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 and to be marked, signed and dated on reverse side.</w:t>
      </w:r>
    </w:p>
    <w:sectPr>
      <w:pgSz w:w="11900" w:h="16838" w:orient="portrait"/>
      <w:cols w:equalWidth="0" w:num="1">
        <w:col w:w="11420"/>
      </w:cols>
      <w:pgMar w:left="240" w:top="9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2]"/>
      <w:numFmt w:val="upperLetter"/>
      <w:start w:val="24"/>
    </w:lvl>
  </w:abstractNum>
  <w:abstractNum w:abstractNumId="1">
    <w:nsid w:val="1F16E9E8"/>
    <w:multiLevelType w:val="hybridMultilevel"/>
    <w:lvl w:ilvl="0">
      <w:lvlJc w:val="left"/>
      <w:lvlText w:val="[%1]"/>
      <w:numFmt w:val="upperLetter"/>
      <w:start w:val="24"/>
    </w:lvl>
  </w:abstractNum>
  <w:abstractNum w:abstractNumId="2">
    <w:nsid w:val="1190CDE7"/>
    <w:multiLevelType w:val="hybridMultilevel"/>
    <w:lvl w:ilvl="0">
      <w:lvlJc w:val="left"/>
      <w:lvlText w:val="["/>
      <w:numFmt w:val="bullet"/>
      <w:start w:val="1"/>
    </w:lvl>
    <w:lvl w:ilvl="1">
      <w:lvlJc w:val="left"/>
      <w:lvlText w:val="%2)"/>
      <w:numFmt w:val="decimal"/>
      <w:start w:val="1"/>
    </w:lvl>
  </w:abstractNum>
  <w:abstractNum w:abstractNumId="3">
    <w:nsid w:val="66EF438D"/>
    <w:multiLevelType w:val="hybridMultilevel"/>
    <w:lvl w:ilvl="0">
      <w:lvlJc w:val="left"/>
      <w:lvlText w:val="["/>
      <w:numFmt w:val="bullet"/>
      <w:start w:val="1"/>
    </w:lvl>
    <w:lvl w:ilvl="1">
      <w:lvlJc w:val="left"/>
      <w:lvlText w:val="%2)"/>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lvl w:ilvl="1">
      <w:lvlJc w:val="left"/>
      <w:lvlText w:val="(%2)"/>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2019-12-09T23:13:04Z</dcterms:created>
  <dcterms:modified xsi:type="dcterms:W3CDTF">2019-12-09T23:13:04Z</dcterms:modified>
</cp:coreProperties>
</file>