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448945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ind w:left="5020"/>
        <w:spacing w:after="0" w:line="237" w:lineRule="auto"/>
        <w:rPr>
          <w:sz w:val="20"/>
          <w:szCs w:val="20"/>
          <w:color w:val="auto"/>
        </w:rPr>
      </w:pPr>
      <w:r>
        <w:rPr>
          <w:rFonts w:ascii="Arial" w:cs="Arial" w:eastAsia="Arial" w:hAnsi="Arial"/>
          <w:sz w:val="10"/>
          <w:szCs w:val="10"/>
          <w:color w:val="auto"/>
        </w:rPr>
        <w:t>__________________________</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14A</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(Rule 14a - 101)</w:t>
      </w:r>
    </w:p>
    <w:p>
      <w:pPr>
        <w:jc w:val="center"/>
        <w:ind w:right="-19"/>
        <w:spacing w:after="0" w:line="234" w:lineRule="auto"/>
        <w:rPr>
          <w:sz w:val="20"/>
          <w:szCs w:val="20"/>
          <w:color w:val="auto"/>
        </w:rPr>
      </w:pPr>
      <w:r>
        <w:rPr>
          <w:rFonts w:ascii="Arial" w:cs="Arial" w:eastAsia="Arial" w:hAnsi="Arial"/>
          <w:sz w:val="16"/>
          <w:szCs w:val="16"/>
          <w:b w:val="1"/>
          <w:bCs w:val="1"/>
          <w:color w:val="auto"/>
        </w:rPr>
        <w:t>INFORMATION REQUIRED IN PROXY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SCHEDULE 14A INFORMATION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Proxy Statement Pursuant to Section 14(a) of the</w:t>
      </w:r>
    </w:p>
    <w:p>
      <w:pPr>
        <w:spacing w:after="0" w:line="19" w:lineRule="exact"/>
        <w:rPr>
          <w:sz w:val="24"/>
          <w:szCs w:val="24"/>
          <w:color w:val="auto"/>
        </w:rPr>
      </w:pPr>
    </w:p>
    <w:p>
      <w:pPr>
        <w:jc w:val="center"/>
        <w:ind w:right="-39"/>
        <w:spacing w:after="0"/>
        <w:tabs>
          <w:tab w:leader="none" w:pos="140" w:val="left"/>
        </w:tabs>
        <w:rPr>
          <w:sz w:val="20"/>
          <w:szCs w:val="20"/>
          <w:color w:val="auto"/>
        </w:rPr>
      </w:pPr>
      <w:r>
        <w:rPr>
          <w:rFonts w:ascii="Arial" w:cs="Arial" w:eastAsia="Arial" w:hAnsi="Arial"/>
          <w:sz w:val="11"/>
          <w:szCs w:val="11"/>
          <w:b w:val="1"/>
          <w:bCs w:val="1"/>
          <w:color w:val="auto"/>
        </w:rPr>
        <w:t>Securities Exchange Act of 1934 (Amendment No.</w:t>
      </w:r>
      <w:r>
        <w:rPr>
          <w:sz w:val="20"/>
          <w:szCs w:val="20"/>
          <w:color w:val="auto"/>
        </w:rPr>
        <w:tab/>
      </w:r>
      <w:r>
        <w:rPr>
          <w:rFonts w:ascii="Arial" w:cs="Arial" w:eastAsia="Arial" w:hAnsi="Arial"/>
          <w:sz w:val="12"/>
          <w:szCs w:val="12"/>
          <w:b w:val="1"/>
          <w:bCs w:val="1"/>
          <w:color w:val="auto"/>
        </w:rPr>
        <w:t>)</w:t>
      </w:r>
    </w:p>
    <w:p>
      <w:pPr>
        <w:ind w:left="5040"/>
        <w:spacing w:after="0"/>
        <w:rPr>
          <w:sz w:val="20"/>
          <w:szCs w:val="20"/>
          <w:color w:val="auto"/>
        </w:rPr>
      </w:pPr>
      <w:r>
        <w:rPr>
          <w:rFonts w:ascii="Arial" w:cs="Arial" w:eastAsia="Arial" w:hAnsi="Arial"/>
          <w:sz w:val="10"/>
          <w:szCs w:val="10"/>
          <w:color w:val="auto"/>
        </w:rPr>
        <w:t>_________________________</w:t>
      </w:r>
    </w:p>
    <w:p>
      <w:pPr>
        <w:spacing w:after="0" w:line="35" w:lineRule="exact"/>
        <w:rPr>
          <w:sz w:val="24"/>
          <w:szCs w:val="24"/>
          <w:color w:val="auto"/>
        </w:rPr>
      </w:pPr>
    </w:p>
    <w:p>
      <w:pPr>
        <w:spacing w:after="0"/>
        <w:tabs>
          <w:tab w:leader="none" w:pos="1800" w:val="left"/>
        </w:tabs>
        <w:rPr>
          <w:sz w:val="20"/>
          <w:szCs w:val="20"/>
          <w:color w:val="auto"/>
        </w:rPr>
      </w:pPr>
      <w:r>
        <w:rPr>
          <w:rFonts w:ascii="Arial" w:cs="Arial" w:eastAsia="Arial" w:hAnsi="Arial"/>
          <w:sz w:val="12"/>
          <w:szCs w:val="12"/>
          <w:color w:val="auto"/>
        </w:rPr>
        <w:t>Filed by the registrant x</w:t>
      </w:r>
      <w:r>
        <w:rPr>
          <w:sz w:val="20"/>
          <w:szCs w:val="20"/>
          <w:color w:val="auto"/>
        </w:rPr>
        <w:tab/>
      </w:r>
      <w:r>
        <w:rPr>
          <w:rFonts w:ascii="Arial" w:cs="Arial" w:eastAsia="Arial" w:hAnsi="Arial"/>
          <w:sz w:val="11"/>
          <w:szCs w:val="11"/>
          <w:color w:val="auto"/>
        </w:rPr>
        <w:t>Filed by a party other than the registrant o</w:t>
      </w:r>
    </w:p>
    <w:p>
      <w:pPr>
        <w:spacing w:after="0" w:line="6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w:t>
      </w:r>
    </w:p>
    <w:p>
      <w:pPr>
        <w:spacing w:after="0" w:line="33" w:lineRule="exact"/>
        <w:rPr>
          <w:sz w:val="24"/>
          <w:szCs w:val="24"/>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15" w:lineRule="exact"/>
        <w:rPr>
          <w:rFonts w:ascii="Arial" w:cs="Arial" w:eastAsia="Arial" w:hAnsi="Arial"/>
          <w:sz w:val="12"/>
          <w:szCs w:val="12"/>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Confidential, for use of the Commission only (as permitted by Rule 14a-6(e)(2))</w:t>
      </w:r>
    </w:p>
    <w:p>
      <w:pPr>
        <w:spacing w:after="0" w:line="15" w:lineRule="exact"/>
        <w:rPr>
          <w:sz w:val="24"/>
          <w:szCs w:val="24"/>
          <w:color w:val="auto"/>
        </w:rPr>
      </w:pPr>
    </w:p>
    <w:p>
      <w:pPr>
        <w:ind w:left="460" w:hanging="456"/>
        <w:spacing w:after="0"/>
        <w:tabs>
          <w:tab w:leader="none" w:pos="46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Definitive proxy statement</w:t>
      </w:r>
    </w:p>
    <w:p>
      <w:pPr>
        <w:spacing w:after="0" w:line="15" w:lineRule="exact"/>
        <w:rPr>
          <w:sz w:val="24"/>
          <w:szCs w:val="24"/>
          <w:color w:val="auto"/>
        </w:rPr>
      </w:pPr>
    </w:p>
    <w:p>
      <w:pPr>
        <w:ind w:left="460" w:hanging="456"/>
        <w:spacing w:after="0"/>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15" w:lineRule="exact"/>
        <w:rPr>
          <w:rFonts w:ascii="Arial" w:cs="Arial" w:eastAsia="Arial" w:hAnsi="Arial"/>
          <w:sz w:val="12"/>
          <w:szCs w:val="12"/>
          <w:color w:val="auto"/>
        </w:rPr>
      </w:pPr>
    </w:p>
    <w:p>
      <w:pPr>
        <w:ind w:left="460" w:hanging="456"/>
        <w:spacing w:after="0"/>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pursuant to Rule 14a-11(c) or Rule 14a-12.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COMSTOCK RESOURCES,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8"/>
          <w:szCs w:val="8"/>
          <w:color w:val="auto"/>
        </w:rPr>
        <w:t>(Name of Registrant as Specified in its Charter)</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8"/>
          <w:szCs w:val="8"/>
          <w:color w:val="auto"/>
        </w:rPr>
        <w:t>(Name of Person(s) Filing Proxy Statement, if Other Than the Registrant)</w:t>
      </w:r>
    </w:p>
    <w:p>
      <w:pPr>
        <w:spacing w:after="0" w:line="61"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the appropriate box):</w:t>
      </w:r>
    </w:p>
    <w:p>
      <w:pPr>
        <w:spacing w:after="0" w:line="33" w:lineRule="exact"/>
        <w:rPr>
          <w:sz w:val="24"/>
          <w:szCs w:val="24"/>
          <w:color w:val="auto"/>
        </w:rPr>
      </w:pPr>
    </w:p>
    <w:p>
      <w:pPr>
        <w:ind w:left="500" w:hanging="496"/>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87" w:lineRule="exact"/>
        <w:rPr>
          <w:sz w:val="24"/>
          <w:szCs w:val="24"/>
          <w:color w:val="auto"/>
        </w:rPr>
      </w:pPr>
    </w:p>
    <w:p>
      <w:pPr>
        <w:ind w:left="500" w:hanging="496"/>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96"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amount on which filing fee is calculated and state how it was determined):</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58" w:lineRule="exact"/>
        <w:rPr>
          <w:rFonts w:ascii="Arial" w:cs="Arial" w:eastAsia="Arial" w:hAnsi="Arial"/>
          <w:sz w:val="12"/>
          <w:szCs w:val="12"/>
          <w:color w:val="auto"/>
        </w:rPr>
      </w:pPr>
    </w:p>
    <w:p>
      <w:pPr>
        <w:ind w:left="500" w:hanging="496"/>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87" w:lineRule="exact"/>
        <w:rPr>
          <w:rFonts w:ascii="Arial" w:cs="Arial" w:eastAsia="Arial" w:hAnsi="Arial"/>
          <w:sz w:val="12"/>
          <w:szCs w:val="12"/>
          <w:color w:val="auto"/>
        </w:rPr>
      </w:pPr>
    </w:p>
    <w:p>
      <w:pPr>
        <w:ind w:left="500" w:hanging="496"/>
        <w:spacing w:after="0" w:line="234" w:lineRule="auto"/>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offering fee was paid previously. Identify the previous filing by registration statement number, or the Form or Schedule and the date of the filing.</w:t>
      </w:r>
    </w:p>
    <w:p>
      <w:pPr>
        <w:spacing w:after="0" w:line="81"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95" w:lineRule="exact"/>
        <w:rPr>
          <w:rFonts w:ascii="Arial" w:cs="Arial" w:eastAsia="Arial" w:hAnsi="Arial"/>
          <w:sz w:val="12"/>
          <w:szCs w:val="12"/>
          <w:color w:val="auto"/>
        </w:rPr>
      </w:pPr>
    </w:p>
    <w:p>
      <w:pPr>
        <w:ind w:left="980" w:hanging="472"/>
        <w:spacing w:after="0"/>
        <w:tabs>
          <w:tab w:leader="none" w:pos="98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617855</wp:posOffset>
            </wp:positionH>
            <wp:positionV relativeFrom="paragraph">
              <wp:posOffset>112395</wp:posOffset>
            </wp:positionV>
            <wp:extent cx="65551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-98425</wp:posOffset>
            </wp:positionV>
            <wp:extent cx="65551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-309880</wp:posOffset>
            </wp:positionV>
            <wp:extent cx="65551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-521335</wp:posOffset>
            </wp:positionV>
            <wp:extent cx="65551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-1132840</wp:posOffset>
            </wp:positionV>
            <wp:extent cx="65551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-1350010</wp:posOffset>
            </wp:positionV>
            <wp:extent cx="65551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-1561465</wp:posOffset>
            </wp:positionV>
            <wp:extent cx="65551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-1772920</wp:posOffset>
            </wp:positionV>
            <wp:extent cx="65551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-1984375</wp:posOffset>
            </wp:positionV>
            <wp:extent cx="65551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238125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255270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764" w:right="339" w:bottom="1440" w:gutter="0" w:footer="0" w:header="0"/>
        </w:sectPr>
      </w:pPr>
    </w:p>
    <w:bookmarkStart w:id="1" w:name="page2"/>
    <w:bookmarkEnd w:id="1"/>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431800</wp:posOffset>
            </wp:positionV>
            <wp:extent cx="1343025" cy="520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43025" cy="5200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COMSTOCK RESOURCES,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 of 2021 Annual Meeting of Stockholders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264160</wp:posOffset>
            </wp:positionV>
            <wp:extent cx="433768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37685" cy="262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Complete, Sign, Date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Return Your Proxy Promptly</w:t>
      </w:r>
    </w:p>
    <w:p>
      <w:pPr>
        <w:spacing w:after="0" w:line="200" w:lineRule="exact"/>
        <w:rPr>
          <w:sz w:val="20"/>
          <w:szCs w:val="20"/>
          <w:color w:val="auto"/>
        </w:rPr>
      </w:pPr>
    </w:p>
    <w:p>
      <w:pPr>
        <w:spacing w:after="0" w:line="385"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June 8, 2021</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10:00 A.M.</w:t>
      </w:r>
    </w:p>
    <w:p>
      <w:pPr>
        <w:ind w:left="3820"/>
        <w:spacing w:after="0"/>
        <w:rPr>
          <w:sz w:val="20"/>
          <w:szCs w:val="20"/>
          <w:color w:val="auto"/>
        </w:rPr>
      </w:pPr>
      <w:r>
        <w:rPr>
          <w:rFonts w:ascii="Arial" w:cs="Arial" w:eastAsia="Arial" w:hAnsi="Arial"/>
          <w:sz w:val="22"/>
          <w:szCs w:val="22"/>
          <w:b w:val="1"/>
          <w:bCs w:val="1"/>
          <w:color w:val="auto"/>
        </w:rPr>
        <w:t>Comstock Resources, Inc.</w:t>
      </w:r>
    </w:p>
    <w:p>
      <w:pPr>
        <w:ind w:left="3820"/>
        <w:spacing w:after="0"/>
        <w:rPr>
          <w:sz w:val="20"/>
          <w:szCs w:val="20"/>
          <w:color w:val="auto"/>
        </w:rPr>
      </w:pPr>
      <w:r>
        <w:rPr>
          <w:rFonts w:ascii="Arial" w:cs="Arial" w:eastAsia="Arial" w:hAnsi="Arial"/>
          <w:sz w:val="22"/>
          <w:szCs w:val="22"/>
          <w:b w:val="1"/>
          <w:bCs w:val="1"/>
          <w:color w:val="auto"/>
        </w:rPr>
        <w:t>Corporate Headquarters</w:t>
      </w:r>
    </w:p>
    <w:p>
      <w:pPr>
        <w:ind w:left="3820"/>
        <w:spacing w:after="0"/>
        <w:rPr>
          <w:sz w:val="20"/>
          <w:szCs w:val="20"/>
          <w:color w:val="auto"/>
        </w:rPr>
      </w:pPr>
      <w:r>
        <w:rPr>
          <w:rFonts w:ascii="Arial" w:cs="Arial" w:eastAsia="Arial" w:hAnsi="Arial"/>
          <w:sz w:val="19"/>
          <w:szCs w:val="19"/>
          <w:b w:val="1"/>
          <w:bCs w:val="1"/>
          <w:color w:val="auto"/>
        </w:rPr>
        <w:t>5300 Town and Country Blvd.</w:t>
      </w:r>
    </w:p>
    <w:p>
      <w:pPr>
        <w:spacing w:after="0" w:line="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Suite 300</w:t>
      </w:r>
    </w:p>
    <w:p>
      <w:pPr>
        <w:ind w:left="3820"/>
        <w:spacing w:after="0"/>
        <w:rPr>
          <w:sz w:val="20"/>
          <w:szCs w:val="20"/>
          <w:color w:val="auto"/>
        </w:rPr>
      </w:pPr>
      <w:r>
        <w:rPr>
          <w:rFonts w:ascii="Arial" w:cs="Arial" w:eastAsia="Arial" w:hAnsi="Arial"/>
          <w:sz w:val="22"/>
          <w:szCs w:val="22"/>
          <w:b w:val="1"/>
          <w:bCs w:val="1"/>
          <w:color w:val="auto"/>
        </w:rPr>
        <w:t>Frisco, Texas 75034</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808990</wp:posOffset>
            </wp:positionV>
            <wp:extent cx="571500"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15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Arial" w:cs="Arial" w:eastAsia="Arial" w:hAnsi="Arial"/>
          <w:sz w:val="13"/>
          <w:szCs w:val="13"/>
          <w:color w:val="auto"/>
        </w:rPr>
        <w:t>To the Stockholders of Comstock Resources, Inc.:</w:t>
      </w:r>
    </w:p>
    <w:p>
      <w:pPr>
        <w:spacing w:after="0" w:line="72" w:lineRule="exact"/>
        <w:rPr>
          <w:sz w:val="20"/>
          <w:szCs w:val="20"/>
          <w:color w:val="auto"/>
        </w:rPr>
      </w:pPr>
    </w:p>
    <w:p>
      <w:pPr>
        <w:ind w:left="8"/>
        <w:spacing w:after="0" w:line="321" w:lineRule="auto"/>
        <w:rPr>
          <w:sz w:val="20"/>
          <w:szCs w:val="20"/>
          <w:color w:val="auto"/>
        </w:rPr>
      </w:pPr>
      <w:r>
        <w:rPr>
          <w:rFonts w:ascii="Arial" w:cs="Arial" w:eastAsia="Arial" w:hAnsi="Arial"/>
          <w:sz w:val="12"/>
          <w:szCs w:val="12"/>
          <w:b w:val="1"/>
          <w:bCs w:val="1"/>
          <w:color w:val="auto"/>
        </w:rPr>
        <w:t>We are pleased to invite you to attend the Annual Meeting of Stockholders of Comstock Resources, Inc. The meeting will be held at 10:00 a.m., local time, on June 8, 2021, at the Company's headquarters at 5300 Town and Country Blvd., 3rd Floor, in Frisco, Texas. Our Board of Directors and management look forward to greeting those of you who are able to attend in person.</w:t>
      </w:r>
    </w:p>
    <w:p>
      <w:pPr>
        <w:spacing w:after="0" w:line="85" w:lineRule="exact"/>
        <w:rPr>
          <w:sz w:val="20"/>
          <w:szCs w:val="20"/>
          <w:color w:val="auto"/>
        </w:rPr>
      </w:pPr>
    </w:p>
    <w:p>
      <w:pPr>
        <w:ind w:left="8" w:right="20"/>
        <w:spacing w:after="0" w:line="271" w:lineRule="auto"/>
        <w:rPr>
          <w:sz w:val="20"/>
          <w:szCs w:val="20"/>
          <w:color w:val="auto"/>
        </w:rPr>
      </w:pPr>
      <w:r>
        <w:rPr>
          <w:rFonts w:ascii="Arial" w:cs="Arial" w:eastAsia="Arial" w:hAnsi="Arial"/>
          <w:sz w:val="13"/>
          <w:szCs w:val="13"/>
          <w:color w:val="auto"/>
        </w:rPr>
        <w:t>We currently intend to hold our Annual Meeting in person. Any change will be announced with a press release and on our website, as well as filing additional proxy materials with the Securities and Exchange Commission.</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3"/>
          <w:szCs w:val="13"/>
          <w:color w:val="auto"/>
        </w:rPr>
        <w:t>At this year's Annual Meeting, you will be asked to vote on items more fully addressed in our Notice of Annual Meeting of Stockholders, including:</w:t>
      </w:r>
    </w:p>
    <w:p>
      <w:pPr>
        <w:spacing w:after="0" w:line="76" w:lineRule="exact"/>
        <w:rPr>
          <w:sz w:val="20"/>
          <w:szCs w:val="20"/>
          <w:color w:val="auto"/>
        </w:rPr>
      </w:pPr>
    </w:p>
    <w:p>
      <w:pPr>
        <w:ind w:left="308" w:hanging="308"/>
        <w:spacing w:after="0"/>
        <w:tabs>
          <w:tab w:leader="none" w:pos="308" w:val="left"/>
        </w:tabs>
        <w:numPr>
          <w:ilvl w:val="0"/>
          <w:numId w:val="6"/>
        </w:numPr>
        <w:rPr>
          <w:rFonts w:ascii="Arial" w:cs="Arial" w:eastAsia="Arial" w:hAnsi="Arial"/>
          <w:sz w:val="13"/>
          <w:szCs w:val="13"/>
          <w:color w:val="225CAB"/>
        </w:rPr>
      </w:pPr>
      <w:r>
        <w:rPr>
          <w:rFonts w:ascii="Arial" w:cs="Arial" w:eastAsia="Arial" w:hAnsi="Arial"/>
          <w:sz w:val="13"/>
          <w:szCs w:val="13"/>
          <w:color w:val="auto"/>
        </w:rPr>
        <w:t>Proposal 1: To elect five director nominees to our Board of Directors; and</w:t>
      </w:r>
    </w:p>
    <w:p>
      <w:pPr>
        <w:spacing w:after="0" w:line="75" w:lineRule="exact"/>
        <w:rPr>
          <w:rFonts w:ascii="Arial" w:cs="Arial" w:eastAsia="Arial" w:hAnsi="Arial"/>
          <w:sz w:val="13"/>
          <w:szCs w:val="13"/>
          <w:color w:val="225CAB"/>
        </w:rPr>
      </w:pPr>
    </w:p>
    <w:p>
      <w:pPr>
        <w:ind w:left="308" w:hanging="308"/>
        <w:spacing w:after="0"/>
        <w:tabs>
          <w:tab w:leader="none" w:pos="308" w:val="left"/>
        </w:tabs>
        <w:numPr>
          <w:ilvl w:val="0"/>
          <w:numId w:val="6"/>
        </w:numPr>
        <w:rPr>
          <w:rFonts w:ascii="Arial" w:cs="Arial" w:eastAsia="Arial" w:hAnsi="Arial"/>
          <w:sz w:val="13"/>
          <w:szCs w:val="13"/>
          <w:color w:val="225CAB"/>
        </w:rPr>
      </w:pPr>
      <w:r>
        <w:rPr>
          <w:rFonts w:ascii="Arial" w:cs="Arial" w:eastAsia="Arial" w:hAnsi="Arial"/>
          <w:sz w:val="13"/>
          <w:szCs w:val="13"/>
          <w:color w:val="auto"/>
        </w:rPr>
        <w:t>Proposal 2: To ratify the appointment of Ernst &amp; Young LLP as our independent registered public accountants for 2021.</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3"/>
          <w:szCs w:val="13"/>
          <w:color w:val="auto"/>
        </w:rPr>
        <w:t>Approval of Proposals 1 and 2 are not conditioned on the approval of the other proposal.</w:t>
      </w:r>
    </w:p>
    <w:p>
      <w:pPr>
        <w:spacing w:after="0" w:line="148"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 xml:space="preserve">We know that most of our stockholders will not be attending the Annual Meeting in person. As a result, our Board of Directors is soliciting proxies so that each stockholder has an opportunity to have their shares represented at the Annual Meeting. </w:t>
      </w:r>
      <w:r>
        <w:rPr>
          <w:rFonts w:ascii="Arial" w:cs="Arial" w:eastAsia="Arial" w:hAnsi="Arial"/>
          <w:sz w:val="13"/>
          <w:szCs w:val="13"/>
          <w:b w:val="1"/>
          <w:bCs w:val="1"/>
          <w:color w:val="auto"/>
        </w:rPr>
        <w:t>If you do not plan to attend, please vote your shares by internet, by telephone, or, if you received our proxy materials by mail, by returning the accompanying proxy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card, as soon as possible so that your shares will be voted at the meeting. </w:t>
      </w:r>
      <w:r>
        <w:rPr>
          <w:rFonts w:ascii="Arial" w:cs="Arial" w:eastAsia="Arial" w:hAnsi="Arial"/>
          <w:sz w:val="13"/>
          <w:szCs w:val="13"/>
          <w:color w:val="auto"/>
        </w:rPr>
        <w:t>Instructions on how to vote can be found in our proxy statement.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On behalf of the Board of Directors and management, thank you for your cooperation and continued support.</w:t>
      </w:r>
    </w:p>
    <w:p>
      <w:pPr>
        <w:spacing w:after="0" w:line="112" w:lineRule="exact"/>
        <w:rPr>
          <w:sz w:val="20"/>
          <w:szCs w:val="20"/>
          <w:color w:val="auto"/>
        </w:rPr>
      </w:pPr>
    </w:p>
    <w:p>
      <w:pPr>
        <w:ind w:left="8668"/>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31750</wp:posOffset>
            </wp:positionV>
            <wp:extent cx="106870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87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68"/>
        <w:spacing w:after="0"/>
        <w:rPr>
          <w:sz w:val="20"/>
          <w:szCs w:val="20"/>
          <w:color w:val="auto"/>
        </w:rPr>
      </w:pPr>
      <w:r>
        <w:rPr>
          <w:rFonts w:ascii="Arial" w:cs="Arial" w:eastAsia="Arial" w:hAnsi="Arial"/>
          <w:sz w:val="13"/>
          <w:szCs w:val="13"/>
          <w:b w:val="1"/>
          <w:bCs w:val="1"/>
          <w:color w:val="auto"/>
        </w:rPr>
        <w:t>M. Jay Allison</w:t>
      </w:r>
    </w:p>
    <w:p>
      <w:pPr>
        <w:spacing w:after="0" w:line="26" w:lineRule="exact"/>
        <w:rPr>
          <w:sz w:val="20"/>
          <w:szCs w:val="20"/>
          <w:color w:val="auto"/>
        </w:rPr>
      </w:pPr>
    </w:p>
    <w:p>
      <w:pPr>
        <w:ind w:left="8668"/>
        <w:spacing w:after="0"/>
        <w:rPr>
          <w:sz w:val="20"/>
          <w:szCs w:val="20"/>
          <w:color w:val="auto"/>
        </w:rPr>
      </w:pPr>
      <w:r>
        <w:rPr>
          <w:rFonts w:ascii="Arial" w:cs="Arial" w:eastAsia="Arial" w:hAnsi="Arial"/>
          <w:sz w:val="13"/>
          <w:szCs w:val="13"/>
          <w:i w:val="1"/>
          <w:iCs w:val="1"/>
          <w:color w:val="auto"/>
        </w:rPr>
        <w:t>Chairman of the Board and</w:t>
      </w:r>
    </w:p>
    <w:p>
      <w:pPr>
        <w:spacing w:after="0" w:line="22" w:lineRule="exact"/>
        <w:rPr>
          <w:sz w:val="20"/>
          <w:szCs w:val="20"/>
          <w:color w:val="auto"/>
        </w:rPr>
      </w:pPr>
    </w:p>
    <w:p>
      <w:pPr>
        <w:ind w:left="8668"/>
        <w:spacing w:after="0"/>
        <w:rPr>
          <w:sz w:val="20"/>
          <w:szCs w:val="20"/>
          <w:color w:val="auto"/>
        </w:rPr>
      </w:pPr>
      <w:r>
        <w:rPr>
          <w:rFonts w:ascii="Arial" w:cs="Arial" w:eastAsia="Arial" w:hAnsi="Arial"/>
          <w:sz w:val="13"/>
          <w:szCs w:val="13"/>
          <w:i w:val="1"/>
          <w:iCs w:val="1"/>
          <w:color w:val="auto"/>
        </w:rPr>
        <w:t>Chief Executive Officer</w:t>
      </w:r>
    </w:p>
    <w:p>
      <w:pPr>
        <w:sectPr>
          <w:pgSz w:w="11900" w:h="16838" w:orient="portrait"/>
          <w:cols w:equalWidth="0" w:num="1">
            <w:col w:w="11308"/>
          </w:cols>
          <w:pgMar w:left="292" w:top="1440" w:right="299"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24"/>
          <w:szCs w:val="24"/>
          <w:b w:val="1"/>
          <w:bCs w:val="1"/>
          <w:color w:val="225CAB"/>
        </w:rPr>
        <w:t>COMSTOCK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780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05740"/>
                    </a:xfrm>
                    <a:prstGeom prst="rect">
                      <a:avLst/>
                    </a:prstGeom>
                    <a:noFill/>
                  </pic:spPr>
                </pic:pic>
              </a:graphicData>
            </a:graphic>
          </wp:anchor>
        </w:drawing>
      </w:r>
    </w:p>
    <w:p>
      <w:pPr>
        <w:spacing w:after="0" w:line="28" w:lineRule="exact"/>
        <w:rPr>
          <w:sz w:val="20"/>
          <w:szCs w:val="20"/>
          <w:color w:val="auto"/>
        </w:rPr>
      </w:pPr>
    </w:p>
    <w:p>
      <w:pPr>
        <w:jc w:val="center"/>
        <w:ind w:right="-7"/>
        <w:spacing w:after="0"/>
        <w:rPr>
          <w:sz w:val="20"/>
          <w:szCs w:val="20"/>
          <w:color w:val="auto"/>
        </w:rPr>
      </w:pPr>
      <w:r>
        <w:rPr>
          <w:rFonts w:ascii="Arial" w:cs="Arial" w:eastAsia="Arial" w:hAnsi="Arial"/>
          <w:sz w:val="24"/>
          <w:szCs w:val="24"/>
          <w:b w:val="1"/>
          <w:bCs w:val="1"/>
          <w:color w:val="auto"/>
        </w:rPr>
        <w:t>Notice of Annual Meeting of Stockholders</w:t>
      </w:r>
    </w:p>
    <w:p>
      <w:pPr>
        <w:spacing w:after="0" w:line="34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225CAB"/>
        </w:rPr>
        <w:t>June 8, 2021</w:t>
      </w:r>
    </w:p>
    <w:p>
      <w:pPr>
        <w:spacing w:after="0" w:line="3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225CAB"/>
        </w:rPr>
        <w:t>10:00 a.m. Central Time</w:t>
      </w:r>
    </w:p>
    <w:p>
      <w:pPr>
        <w:ind w:left="8"/>
        <w:spacing w:after="0" w:line="181" w:lineRule="auto"/>
        <w:tabs>
          <w:tab w:leader="none" w:pos="1748" w:val="left"/>
        </w:tabs>
        <w:rPr>
          <w:sz w:val="20"/>
          <w:szCs w:val="20"/>
          <w:color w:val="auto"/>
        </w:rPr>
      </w:pPr>
      <w:r>
        <w:rPr>
          <w:rFonts w:ascii="Arial" w:cs="Arial" w:eastAsia="Arial" w:hAnsi="Arial"/>
          <w:sz w:val="16"/>
          <w:szCs w:val="16"/>
          <w:b w:val="1"/>
          <w:bCs w:val="1"/>
          <w:color w:val="225CAB"/>
          <w:vertAlign w:val="subscript"/>
        </w:rPr>
        <w:t>Location:</w:t>
      </w:r>
      <w:r>
        <w:rPr>
          <w:sz w:val="20"/>
          <w:szCs w:val="20"/>
          <w:color w:val="auto"/>
        </w:rPr>
        <w:tab/>
      </w:r>
      <w:r>
        <w:rPr>
          <w:rFonts w:ascii="Arial" w:cs="Arial" w:eastAsia="Arial" w:hAnsi="Arial"/>
          <w:sz w:val="9"/>
          <w:szCs w:val="9"/>
          <w:b w:val="1"/>
          <w:bCs w:val="1"/>
          <w:i w:val="1"/>
          <w:iCs w:val="1"/>
          <w:color w:val="225CAB"/>
        </w:rPr>
        <w:t>Company Headquarters</w:t>
      </w:r>
    </w:p>
    <w:p>
      <w:pPr>
        <w:ind w:left="1768"/>
        <w:spacing w:after="0" w:line="213" w:lineRule="auto"/>
        <w:rPr>
          <w:sz w:val="20"/>
          <w:szCs w:val="20"/>
          <w:color w:val="auto"/>
        </w:rPr>
      </w:pPr>
      <w:r>
        <w:rPr>
          <w:rFonts w:ascii="Arial" w:cs="Arial" w:eastAsia="Arial" w:hAnsi="Arial"/>
          <w:sz w:val="13"/>
          <w:szCs w:val="13"/>
          <w:b w:val="1"/>
          <w:bCs w:val="1"/>
          <w:i w:val="1"/>
          <w:iCs w:val="1"/>
          <w:color w:val="225CAB"/>
        </w:rPr>
        <w:t>5300 Town and Country Blvd., 3rd Floor</w:t>
      </w:r>
    </w:p>
    <w:p>
      <w:pPr>
        <w:spacing w:after="0" w:line="1" w:lineRule="exact"/>
        <w:rPr>
          <w:sz w:val="20"/>
          <w:szCs w:val="20"/>
          <w:color w:val="auto"/>
        </w:rPr>
      </w:pPr>
    </w:p>
    <w:p>
      <w:pPr>
        <w:ind w:left="1768"/>
        <w:spacing w:after="0"/>
        <w:rPr>
          <w:sz w:val="20"/>
          <w:szCs w:val="20"/>
          <w:color w:val="auto"/>
        </w:rPr>
      </w:pPr>
      <w:r>
        <w:rPr>
          <w:rFonts w:ascii="Arial" w:cs="Arial" w:eastAsia="Arial" w:hAnsi="Arial"/>
          <w:sz w:val="13"/>
          <w:szCs w:val="13"/>
          <w:b w:val="1"/>
          <w:bCs w:val="1"/>
          <w:i w:val="1"/>
          <w:iCs w:val="1"/>
          <w:color w:val="225CAB"/>
        </w:rPr>
        <w:t>Frisco, Texas 75034</w:t>
      </w:r>
    </w:p>
    <w:p>
      <w:pPr>
        <w:spacing w:after="0" w:line="120" w:lineRule="exact"/>
        <w:rPr>
          <w:sz w:val="20"/>
          <w:szCs w:val="20"/>
          <w:color w:val="auto"/>
        </w:rPr>
      </w:pPr>
    </w:p>
    <w:p>
      <w:pPr>
        <w:ind w:left="8" w:right="20"/>
        <w:spacing w:after="0" w:line="271" w:lineRule="auto"/>
        <w:rPr>
          <w:sz w:val="20"/>
          <w:szCs w:val="20"/>
          <w:color w:val="auto"/>
        </w:rPr>
      </w:pPr>
      <w:r>
        <w:rPr>
          <w:rFonts w:ascii="Arial" w:cs="Arial" w:eastAsia="Arial" w:hAnsi="Arial"/>
          <w:sz w:val="13"/>
          <w:szCs w:val="13"/>
          <w:color w:val="auto"/>
        </w:rPr>
        <w:t>We currently intend to hold our Annual Meeting in person. Any change will be announced with a press release on our website, as well as filing additional proxy materials with the Securities and Exchange Commission.</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225CAB"/>
        </w:rPr>
        <w:t>ITEMS OF BUSINESS</w:t>
      </w:r>
    </w:p>
    <w:p>
      <w:pPr>
        <w:spacing w:after="0" w:line="80" w:lineRule="exact"/>
        <w:rPr>
          <w:sz w:val="20"/>
          <w:szCs w:val="20"/>
          <w:color w:val="auto"/>
        </w:rPr>
      </w:pPr>
    </w:p>
    <w:p>
      <w:pPr>
        <w:ind w:left="328" w:hanging="328"/>
        <w:spacing w:after="0"/>
        <w:tabs>
          <w:tab w:leader="none" w:pos="328" w:val="left"/>
        </w:tabs>
        <w:numPr>
          <w:ilvl w:val="0"/>
          <w:numId w:val="7"/>
        </w:numPr>
        <w:rPr>
          <w:rFonts w:ascii="Arial" w:cs="Arial" w:eastAsia="Arial" w:hAnsi="Arial"/>
          <w:sz w:val="13"/>
          <w:szCs w:val="13"/>
          <w:color w:val="225CAB"/>
        </w:rPr>
      </w:pPr>
      <w:r>
        <w:rPr>
          <w:rFonts w:ascii="Arial" w:cs="Arial" w:eastAsia="Arial" w:hAnsi="Arial"/>
          <w:sz w:val="13"/>
          <w:szCs w:val="13"/>
          <w:color w:val="auto"/>
        </w:rPr>
        <w:t>To elect five director nominees to our Board of Directors.</w:t>
      </w:r>
    </w:p>
    <w:p>
      <w:pPr>
        <w:spacing w:after="0" w:line="13" w:lineRule="exact"/>
        <w:rPr>
          <w:rFonts w:ascii="Arial" w:cs="Arial" w:eastAsia="Arial" w:hAnsi="Arial"/>
          <w:sz w:val="13"/>
          <w:szCs w:val="13"/>
          <w:color w:val="225CAB"/>
        </w:rPr>
      </w:pPr>
    </w:p>
    <w:p>
      <w:pPr>
        <w:ind w:left="328" w:hanging="328"/>
        <w:spacing w:after="0"/>
        <w:tabs>
          <w:tab w:leader="none" w:pos="328" w:val="left"/>
        </w:tabs>
        <w:numPr>
          <w:ilvl w:val="0"/>
          <w:numId w:val="7"/>
        </w:numPr>
        <w:rPr>
          <w:rFonts w:ascii="Arial" w:cs="Arial" w:eastAsia="Arial" w:hAnsi="Arial"/>
          <w:sz w:val="13"/>
          <w:szCs w:val="13"/>
          <w:color w:val="225CAB"/>
        </w:rPr>
      </w:pPr>
      <w:r>
        <w:rPr>
          <w:rFonts w:ascii="Arial" w:cs="Arial" w:eastAsia="Arial" w:hAnsi="Arial"/>
          <w:sz w:val="13"/>
          <w:szCs w:val="13"/>
          <w:color w:val="auto"/>
        </w:rPr>
        <w:t>To ratify the appointment of Ernst &amp; Young LLP as our independent registered public accountants for 2021.</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3"/>
          <w:szCs w:val="13"/>
          <w:color w:val="auto"/>
        </w:rPr>
        <w:t>Approval of Proposals 1 and 2 are not conditioned on the approval of any of the other proposals.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225CAB"/>
        </w:rPr>
        <w:t>RECORD DATE</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April 7, 2021</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225CAB"/>
        </w:rPr>
        <w:t>ANNUAL REPORT</w:t>
      </w:r>
    </w:p>
    <w:p>
      <w:pPr>
        <w:spacing w:after="0" w:line="80" w:lineRule="exact"/>
        <w:rPr>
          <w:sz w:val="20"/>
          <w:szCs w:val="20"/>
          <w:color w:val="auto"/>
        </w:rPr>
      </w:pPr>
    </w:p>
    <w:p>
      <w:pPr>
        <w:ind w:left="8" w:right="20"/>
        <w:spacing w:after="0" w:line="271" w:lineRule="auto"/>
        <w:rPr>
          <w:sz w:val="20"/>
          <w:szCs w:val="20"/>
          <w:color w:val="auto"/>
        </w:rPr>
      </w:pPr>
      <w:r>
        <w:rPr>
          <w:rFonts w:ascii="Arial" w:cs="Arial" w:eastAsia="Arial" w:hAnsi="Arial"/>
          <w:sz w:val="13"/>
          <w:szCs w:val="13"/>
          <w:color w:val="auto"/>
        </w:rPr>
        <w:t xml:space="preserve">Our Annual Report to Stockholders for the year ended December 31, 2020, which is not a part of the proxy solicitation materials, is available on our website at </w:t>
      </w:r>
      <w:r>
        <w:rPr>
          <w:rFonts w:ascii="Arial" w:cs="Arial" w:eastAsia="Arial" w:hAnsi="Arial"/>
          <w:sz w:val="13"/>
          <w:szCs w:val="13"/>
          <w:i w:val="1"/>
          <w:iCs w:val="1"/>
          <w:color w:val="auto"/>
        </w:rPr>
        <w:t>www.comstockresources.com</w:t>
      </w:r>
      <w:r>
        <w:rPr>
          <w:rFonts w:ascii="Arial" w:cs="Arial" w:eastAsia="Arial" w:hAnsi="Arial"/>
          <w:sz w:val="13"/>
          <w:szCs w:val="13"/>
          <w:color w:val="auto"/>
        </w:rPr>
        <w:t>. If you received a printed copy of the proxy materials, a printed Annual Report was enclosed.</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225CAB"/>
        </w:rPr>
        <w:t>PROXY VOTING</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Stockholders of record may vote in person at the meeting, but may also appoint proxies to vote their shares in one of three ways, by:</w:t>
      </w:r>
    </w:p>
    <w:p>
      <w:pPr>
        <w:spacing w:after="0" w:line="200" w:lineRule="exact"/>
        <w:rPr>
          <w:sz w:val="20"/>
          <w:szCs w:val="20"/>
          <w:color w:val="auto"/>
        </w:rPr>
      </w:pPr>
    </w:p>
    <w:p>
      <w:pPr>
        <w:spacing w:after="0" w:line="254" w:lineRule="exact"/>
        <w:rPr>
          <w:sz w:val="20"/>
          <w:szCs w:val="20"/>
          <w:color w:val="auto"/>
        </w:rPr>
      </w:pPr>
    </w:p>
    <w:p>
      <w:pPr>
        <w:ind w:left="8"/>
        <w:spacing w:after="0" w:line="271" w:lineRule="auto"/>
        <w:rPr>
          <w:sz w:val="20"/>
          <w:szCs w:val="20"/>
          <w:color w:val="auto"/>
        </w:rPr>
      </w:pPr>
      <w:r>
        <w:rPr>
          <w:rFonts w:ascii="Arial" w:cs="Arial" w:eastAsia="Arial" w:hAnsi="Arial"/>
          <w:sz w:val="13"/>
          <w:szCs w:val="13"/>
          <w:color w:val="auto"/>
        </w:rPr>
        <w:t>If your shares are held by a bank, broker or other holder of record, you may appoint proxies to vote your shares on your behalf as instructed by that bank, broker or other holder of record. If your shares are held by any such person or entity, you may obtain a proxy from that entity and bring it with you to hand in with your ballot in order to be able to vote your shares at the meeting.</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3"/>
          <w:szCs w:val="13"/>
          <w:color w:val="auto"/>
        </w:rPr>
        <w:t>This proxy statement is first being distributed on or about April 26, 2021 to holders of our common stock.</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3"/>
          <w:szCs w:val="13"/>
          <w:color w:val="auto"/>
        </w:rPr>
        <w:t>Any proxy may be revoked at any time before it is exercised at the meeting.</w:t>
      </w:r>
    </w:p>
    <w:p>
      <w:pPr>
        <w:spacing w:after="0" w:line="103" w:lineRule="exact"/>
        <w:rPr>
          <w:sz w:val="20"/>
          <w:szCs w:val="20"/>
          <w:color w:val="auto"/>
        </w:rPr>
      </w:pPr>
    </w:p>
    <w:p>
      <w:pPr>
        <w:ind w:left="9148"/>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5806440</wp:posOffset>
            </wp:positionH>
            <wp:positionV relativeFrom="paragraph">
              <wp:posOffset>31750</wp:posOffset>
            </wp:positionV>
            <wp:extent cx="12573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7300" cy="171450"/>
                    </a:xfrm>
                    <a:prstGeom prst="rect">
                      <a:avLst/>
                    </a:prstGeom>
                    <a:noFill/>
                  </pic:spPr>
                </pic:pic>
              </a:graphicData>
            </a:graphic>
          </wp:anchor>
        </w:drawing>
      </w:r>
    </w:p>
    <w:p>
      <w:pPr>
        <w:spacing w:after="0" w:line="394" w:lineRule="exact"/>
        <w:rPr>
          <w:sz w:val="20"/>
          <w:szCs w:val="20"/>
          <w:color w:val="auto"/>
        </w:rPr>
      </w:pPr>
    </w:p>
    <w:p>
      <w:pPr>
        <w:ind w:left="9148"/>
        <w:spacing w:after="0"/>
        <w:rPr>
          <w:sz w:val="20"/>
          <w:szCs w:val="20"/>
          <w:color w:val="auto"/>
        </w:rPr>
      </w:pPr>
      <w:r>
        <w:rPr>
          <w:rFonts w:ascii="Arial" w:cs="Arial" w:eastAsia="Arial" w:hAnsi="Arial"/>
          <w:sz w:val="13"/>
          <w:szCs w:val="13"/>
          <w:b w:val="1"/>
          <w:bCs w:val="1"/>
          <w:color w:val="auto"/>
        </w:rPr>
        <w:t>Roland O. Burns</w:t>
      </w:r>
    </w:p>
    <w:p>
      <w:pPr>
        <w:spacing w:after="0" w:line="26" w:lineRule="exact"/>
        <w:rPr>
          <w:sz w:val="20"/>
          <w:szCs w:val="20"/>
          <w:color w:val="auto"/>
        </w:rPr>
      </w:pPr>
    </w:p>
    <w:p>
      <w:pPr>
        <w:ind w:left="9148"/>
        <w:spacing w:after="0"/>
        <w:rPr>
          <w:sz w:val="20"/>
          <w:szCs w:val="20"/>
          <w:color w:val="auto"/>
        </w:rPr>
      </w:pPr>
      <w:r>
        <w:rPr>
          <w:rFonts w:ascii="Arial" w:cs="Arial" w:eastAsia="Arial" w:hAnsi="Arial"/>
          <w:sz w:val="13"/>
          <w:szCs w:val="13"/>
          <w:i w:val="1"/>
          <w:iCs w:val="1"/>
          <w:color w:val="auto"/>
        </w:rPr>
        <w:t>Secretary</w:t>
      </w:r>
    </w:p>
    <w:p>
      <w:pPr>
        <w:sectPr>
          <w:pgSz w:w="11900" w:h="16838" w:orient="portrait"/>
          <w:cols w:equalWidth="0" w:num="1">
            <w:col w:w="11308"/>
          </w:cols>
          <w:pgMar w:left="292" w:top="969"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44" w:lineRule="exact"/>
        <w:rPr>
          <w:sz w:val="20"/>
          <w:szCs w:val="20"/>
          <w:color w:val="auto"/>
        </w:rPr>
      </w:pPr>
    </w:p>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PROXY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2020 Overview and Performance</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Proposals for Stockholder Action</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7">
        <w:r>
          <w:rPr>
            <w:rFonts w:ascii="Arial" w:cs="Arial" w:eastAsia="Arial" w:hAnsi="Arial"/>
            <w:sz w:val="13"/>
            <w:szCs w:val="13"/>
            <w:u w:val="single" w:color="auto"/>
            <w:color w:val="0000FF"/>
          </w:rPr>
          <w:t>Recommendations of the Board of Directors Regarding the Proposals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8">
        <w:r>
          <w:rPr>
            <w:rFonts w:ascii="Arial" w:cs="Arial" w:eastAsia="Arial" w:hAnsi="Arial"/>
            <w:sz w:val="13"/>
            <w:szCs w:val="13"/>
            <w:u w:val="single" w:color="auto"/>
            <w:color w:val="0000FF"/>
          </w:rPr>
          <w:t>Communicating with the Board of Directors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8">
        <w:r>
          <w:rPr>
            <w:rFonts w:ascii="Arial" w:cs="Arial" w:eastAsia="Arial" w:hAnsi="Arial"/>
            <w:sz w:val="13"/>
            <w:szCs w:val="13"/>
            <w:u w:val="single" w:color="auto"/>
            <w:color w:val="0000FF"/>
          </w:rPr>
          <w:t>Governance Documents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8">
        <w:r>
          <w:rPr>
            <w:rFonts w:ascii="Arial" w:cs="Arial" w:eastAsia="Arial" w:hAnsi="Arial"/>
            <w:sz w:val="13"/>
            <w:szCs w:val="13"/>
            <w:u w:val="single" w:color="auto"/>
            <w:color w:val="0000FF"/>
          </w:rPr>
          <w:t>Information about the Electronic Availability of Proxy Materials</w:t>
        </w:r>
      </w:hyperlink>
    </w:p>
    <w:p>
      <w:pPr>
        <w:spacing w:after="0" w:line="203" w:lineRule="exact"/>
        <w:rPr>
          <w:sz w:val="20"/>
          <w:szCs w:val="20"/>
          <w:color w:val="auto"/>
        </w:rPr>
      </w:pPr>
    </w:p>
    <w:p>
      <w:pPr>
        <w:spacing w:after="0"/>
        <w:rPr>
          <w:rFonts w:ascii="Arial" w:cs="Arial" w:eastAsia="Arial" w:hAnsi="Arial"/>
          <w:sz w:val="14"/>
          <w:szCs w:val="14"/>
          <w:b w:val="1"/>
          <w:bCs w:val="1"/>
          <w:u w:val="single" w:color="auto"/>
          <w:color w:val="0000FF"/>
        </w:rPr>
      </w:pPr>
      <w:hyperlink w:anchor="page8">
        <w:r>
          <w:rPr>
            <w:rFonts w:ascii="Arial" w:cs="Arial" w:eastAsia="Arial" w:hAnsi="Arial"/>
            <w:sz w:val="14"/>
            <w:szCs w:val="14"/>
            <w:b w:val="1"/>
            <w:bCs w:val="1"/>
            <w:u w:val="single" w:color="auto"/>
            <w:color w:val="0000FF"/>
          </w:rPr>
          <w:t>PROXY STATEMENT FOR THE ANNUAL MEETING OF STOCKHOLDERS TO BE HELD JUNE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FF"/>
        </w:rPr>
      </w:pPr>
      <w:hyperlink w:anchor="page9">
        <w:r>
          <w:rPr>
            <w:rFonts w:ascii="Arial" w:cs="Arial" w:eastAsia="Arial" w:hAnsi="Arial"/>
            <w:sz w:val="14"/>
            <w:szCs w:val="14"/>
            <w:b w:val="1"/>
            <w:bCs w:val="1"/>
            <w:u w:val="single" w:color="auto"/>
            <w:color w:val="0000FF"/>
          </w:rPr>
          <w:t>QUESTIONS AND ANSWERS ABOUT THE ANNUAL MEETING AND VOTING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FF"/>
        </w:rPr>
      </w:pPr>
      <w:hyperlink w:anchor="page12">
        <w:r>
          <w:rPr>
            <w:rFonts w:ascii="Arial" w:cs="Arial" w:eastAsia="Arial" w:hAnsi="Arial"/>
            <w:sz w:val="14"/>
            <w:szCs w:val="14"/>
            <w:b w:val="1"/>
            <w:bCs w:val="1"/>
            <w:u w:val="single" w:color="auto"/>
            <w:color w:val="0000FF"/>
          </w:rPr>
          <w:t>VOTING SECURITIES AND PRINCIPAL 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13">
        <w:r>
          <w:rPr>
            <w:rFonts w:ascii="Arial" w:cs="Arial" w:eastAsia="Arial" w:hAnsi="Arial"/>
            <w:sz w:val="13"/>
            <w:szCs w:val="13"/>
            <w:u w:val="single" w:color="auto"/>
            <w:color w:val="0000FF"/>
          </w:rPr>
          <w:t>Security Ownership of Certain Beneficial Owners and Management</w:t>
        </w:r>
      </w:hyperlink>
    </w:p>
    <w:p>
      <w:pPr>
        <w:spacing w:after="0" w:line="194" w:lineRule="exact"/>
        <w:rPr>
          <w:sz w:val="20"/>
          <w:szCs w:val="20"/>
          <w:color w:val="auto"/>
        </w:rPr>
      </w:pPr>
    </w:p>
    <w:p>
      <w:pPr>
        <w:ind w:left="1520"/>
        <w:spacing w:after="0"/>
        <w:tabs>
          <w:tab w:leader="none" w:pos="2520" w:val="left"/>
        </w:tabs>
        <w:rPr>
          <w:rFonts w:ascii="Arial" w:cs="Arial" w:eastAsia="Arial" w:hAnsi="Arial"/>
          <w:sz w:val="14"/>
          <w:szCs w:val="14"/>
          <w:b w:val="1"/>
          <w:bCs w:val="1"/>
          <w:u w:val="single" w:color="auto"/>
          <w:color w:val="0000FF"/>
        </w:rPr>
      </w:pPr>
      <w:hyperlink w:anchor="page13">
        <w:r>
          <w:rPr>
            <w:rFonts w:ascii="Arial" w:cs="Arial" w:eastAsia="Arial" w:hAnsi="Arial"/>
            <w:sz w:val="14"/>
            <w:szCs w:val="14"/>
            <w:b w:val="1"/>
            <w:bCs w:val="1"/>
            <w:u w:val="single" w:color="auto"/>
            <w:color w:val="0000FF"/>
          </w:rPr>
          <w:t>PROPOSAL 1</w:t>
        </w:r>
      </w:hyperlink>
      <w:r>
        <w:rPr>
          <w:rFonts w:ascii="Arial" w:cs="Arial" w:eastAsia="Arial" w:hAnsi="Arial"/>
          <w:sz w:val="14"/>
          <w:szCs w:val="14"/>
          <w:b w:val="1"/>
          <w:bCs w:val="1"/>
          <w:u w:val="single" w:color="auto"/>
          <w:color w:val="0000FF"/>
        </w:rPr>
        <w:tab/>
      </w:r>
      <w:hyperlink w:anchor="page13">
        <w:r>
          <w:rPr>
            <w:rFonts w:ascii="Arial" w:cs="Arial" w:eastAsia="Arial" w:hAnsi="Arial"/>
            <w:sz w:val="14"/>
            <w:szCs w:val="14"/>
            <w:b w:val="1"/>
            <w:bCs w:val="1"/>
            <w:u w:val="single" w:color="auto"/>
            <w:color w:val="0000FF"/>
          </w:rPr>
          <w:t>TO ELECT EACH OF FIVE DIRECTOR NOMINEES TO THE COMPANY'S BOARD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78040" cy="12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25730"/>
                    </a:xfrm>
                    <a:prstGeom prst="rect">
                      <a:avLst/>
                    </a:prstGeom>
                    <a:noFill/>
                  </pic:spPr>
                </pic:pic>
              </a:graphicData>
            </a:graphic>
          </wp:anchor>
        </w:drawing>
      </w:r>
    </w:p>
    <w:p>
      <w:pPr>
        <w:spacing w:after="0" w:line="188" w:lineRule="exact"/>
        <w:rPr>
          <w:sz w:val="20"/>
          <w:szCs w:val="20"/>
          <w:color w:val="auto"/>
        </w:rPr>
      </w:pPr>
    </w:p>
    <w:p>
      <w:pPr>
        <w:spacing w:after="0"/>
        <w:rPr>
          <w:rFonts w:ascii="Arial" w:cs="Arial" w:eastAsia="Arial" w:hAnsi="Arial"/>
          <w:sz w:val="14"/>
          <w:szCs w:val="14"/>
          <w:b w:val="1"/>
          <w:bCs w:val="1"/>
          <w:u w:val="single" w:color="auto"/>
          <w:color w:val="0000FF"/>
        </w:rPr>
      </w:pPr>
      <w:hyperlink w:anchor="page14">
        <w:r>
          <w:rPr>
            <w:rFonts w:ascii="Arial" w:cs="Arial" w:eastAsia="Arial" w:hAnsi="Arial"/>
            <w:sz w:val="14"/>
            <w:szCs w:val="14"/>
            <w:b w:val="1"/>
            <w:bCs w:val="1"/>
            <w:u w:val="single" w:color="auto"/>
            <w:color w:val="0000FF"/>
          </w:rPr>
          <w:t>SELECTION CRITERIA AND QUALIFICATIONS OF DIRECTOR CANDIDATES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14">
        <w:r>
          <w:rPr>
            <w:rFonts w:ascii="Arial" w:cs="Arial" w:eastAsia="Arial" w:hAnsi="Arial"/>
            <w:sz w:val="13"/>
            <w:szCs w:val="13"/>
            <w:u w:val="single" w:color="auto"/>
            <w:color w:val="0000FF"/>
          </w:rPr>
          <w:t>Director Selection Process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5">
        <w:r>
          <w:rPr>
            <w:rFonts w:ascii="Arial" w:cs="Arial" w:eastAsia="Arial" w:hAnsi="Arial"/>
            <w:sz w:val="13"/>
            <w:szCs w:val="13"/>
            <w:u w:val="single" w:color="auto"/>
            <w:color w:val="0000FF"/>
          </w:rPr>
          <w:t>Director Nominees</w:t>
        </w:r>
      </w:hyperlink>
    </w:p>
    <w:p>
      <w:pPr>
        <w:spacing w:after="0" w:line="203" w:lineRule="exact"/>
        <w:rPr>
          <w:sz w:val="20"/>
          <w:szCs w:val="20"/>
          <w:color w:val="auto"/>
        </w:rPr>
      </w:pPr>
    </w:p>
    <w:p>
      <w:pPr>
        <w:spacing w:after="0"/>
        <w:rPr>
          <w:rFonts w:ascii="Arial" w:cs="Arial" w:eastAsia="Arial" w:hAnsi="Arial"/>
          <w:sz w:val="14"/>
          <w:szCs w:val="14"/>
          <w:b w:val="1"/>
          <w:bCs w:val="1"/>
          <w:u w:val="single" w:color="auto"/>
          <w:color w:val="0000FF"/>
        </w:rPr>
      </w:pPr>
      <w:hyperlink w:anchor="page17">
        <w:r>
          <w:rPr>
            <w:rFonts w:ascii="Arial" w:cs="Arial" w:eastAsia="Arial" w:hAnsi="Arial"/>
            <w:sz w:val="14"/>
            <w:szCs w:val="14"/>
            <w:b w:val="1"/>
            <w:bCs w:val="1"/>
            <w:u w:val="single" w:color="auto"/>
            <w:color w:val="0000FF"/>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18">
        <w:r>
          <w:rPr>
            <w:rFonts w:ascii="Arial" w:cs="Arial" w:eastAsia="Arial" w:hAnsi="Arial"/>
            <w:sz w:val="13"/>
            <w:szCs w:val="13"/>
            <w:u w:val="single" w:color="auto"/>
            <w:color w:val="0000FF"/>
          </w:rPr>
          <w:t>Corporate Governance Guidelines and Code of Business Conduct and Ethics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8">
        <w:r>
          <w:rPr>
            <w:rFonts w:ascii="Arial" w:cs="Arial" w:eastAsia="Arial" w:hAnsi="Arial"/>
            <w:sz w:val="13"/>
            <w:szCs w:val="13"/>
            <w:u w:val="single" w:color="auto"/>
            <w:color w:val="0000FF"/>
          </w:rPr>
          <w:t>Determinations of Director Independence</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8">
        <w:r>
          <w:rPr>
            <w:rFonts w:ascii="Arial" w:cs="Arial" w:eastAsia="Arial" w:hAnsi="Arial"/>
            <w:sz w:val="13"/>
            <w:szCs w:val="13"/>
            <w:u w:val="single" w:color="auto"/>
            <w:color w:val="0000FF"/>
          </w:rPr>
          <w:t>Board of Director Meetings and Committees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8">
        <w:r>
          <w:rPr>
            <w:rFonts w:ascii="Arial" w:cs="Arial" w:eastAsia="Arial" w:hAnsi="Arial"/>
            <w:sz w:val="13"/>
            <w:szCs w:val="13"/>
            <w:u w:val="single" w:color="auto"/>
            <w:color w:val="0000FF"/>
          </w:rPr>
          <w:t>Board Leadership Structure</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9">
        <w:r>
          <w:rPr>
            <w:rFonts w:ascii="Arial" w:cs="Arial" w:eastAsia="Arial" w:hAnsi="Arial"/>
            <w:sz w:val="13"/>
            <w:szCs w:val="13"/>
            <w:u w:val="single" w:color="auto"/>
            <w:color w:val="0000FF"/>
          </w:rPr>
          <w:t>Risk Oversight</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9">
        <w:r>
          <w:rPr>
            <w:rFonts w:ascii="Arial" w:cs="Arial" w:eastAsia="Arial" w:hAnsi="Arial"/>
            <w:sz w:val="13"/>
            <w:szCs w:val="13"/>
            <w:u w:val="single" w:color="auto"/>
            <w:color w:val="0000FF"/>
          </w:rPr>
          <w:t>Adoption of Written Charters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9">
        <w:r>
          <w:rPr>
            <w:rFonts w:ascii="Arial" w:cs="Arial" w:eastAsia="Arial" w:hAnsi="Arial"/>
            <w:sz w:val="13"/>
            <w:szCs w:val="13"/>
            <w:u w:val="single" w:color="auto"/>
            <w:color w:val="0000FF"/>
          </w:rPr>
          <w:t>Related Party Transactions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19">
        <w:r>
          <w:rPr>
            <w:rFonts w:ascii="Arial" w:cs="Arial" w:eastAsia="Arial" w:hAnsi="Arial"/>
            <w:sz w:val="13"/>
            <w:szCs w:val="13"/>
            <w:u w:val="single" w:color="auto"/>
            <w:color w:val="0000FF"/>
          </w:rPr>
          <w:t>Compensation Committee Interlocks and Insider Participation</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0">
        <w:r>
          <w:rPr>
            <w:rFonts w:ascii="Arial" w:cs="Arial" w:eastAsia="Arial" w:hAnsi="Arial"/>
            <w:sz w:val="13"/>
            <w:szCs w:val="13"/>
            <w:u w:val="single" w:color="auto"/>
            <w:color w:val="0000FF"/>
          </w:rPr>
          <w:t>Stock Ownership Guidelines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0">
        <w:r>
          <w:rPr>
            <w:rFonts w:ascii="Arial" w:cs="Arial" w:eastAsia="Arial" w:hAnsi="Arial"/>
            <w:sz w:val="13"/>
            <w:szCs w:val="13"/>
            <w:u w:val="single" w:color="auto"/>
            <w:color w:val="0000FF"/>
          </w:rPr>
          <w:t>Hedging Policy</w:t>
        </w:r>
      </w:hyperlink>
    </w:p>
    <w:p>
      <w:pPr>
        <w:spacing w:after="0" w:line="212" w:lineRule="exact"/>
        <w:rPr>
          <w:sz w:val="20"/>
          <w:szCs w:val="20"/>
          <w:color w:val="auto"/>
        </w:rPr>
      </w:pPr>
    </w:p>
    <w:p>
      <w:pPr>
        <w:spacing w:after="0"/>
        <w:rPr>
          <w:rFonts w:ascii="Arial" w:cs="Arial" w:eastAsia="Arial" w:hAnsi="Arial"/>
          <w:sz w:val="14"/>
          <w:szCs w:val="14"/>
          <w:b w:val="1"/>
          <w:bCs w:val="1"/>
          <w:u w:val="single" w:color="auto"/>
          <w:color w:val="0000FF"/>
        </w:rPr>
      </w:pPr>
      <w:hyperlink w:anchor="page21">
        <w:r>
          <w:rPr>
            <w:rFonts w:ascii="Arial" w:cs="Arial" w:eastAsia="Arial" w:hAnsi="Arial"/>
            <w:sz w:val="14"/>
            <w:szCs w:val="14"/>
            <w:b w:val="1"/>
            <w:bCs w:val="1"/>
            <w:u w:val="single" w:color="auto"/>
            <w:color w:val="0000FF"/>
          </w:rPr>
          <w:t>SUSTAINABILITY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21">
        <w:r>
          <w:rPr>
            <w:rFonts w:ascii="Arial" w:cs="Arial" w:eastAsia="Arial" w:hAnsi="Arial"/>
            <w:sz w:val="13"/>
            <w:szCs w:val="13"/>
            <w:u w:val="single" w:color="auto"/>
            <w:color w:val="0000FF"/>
          </w:rPr>
          <w:t>Environmental</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1">
        <w:r>
          <w:rPr>
            <w:rFonts w:ascii="Arial" w:cs="Arial" w:eastAsia="Arial" w:hAnsi="Arial"/>
            <w:sz w:val="13"/>
            <w:szCs w:val="13"/>
            <w:u w:val="single" w:color="auto"/>
            <w:color w:val="0000FF"/>
          </w:rPr>
          <w:t>Social</w:t>
        </w:r>
      </w:hyperlink>
    </w:p>
    <w:p>
      <w:pPr>
        <w:spacing w:after="0" w:line="212" w:lineRule="exact"/>
        <w:rPr>
          <w:sz w:val="20"/>
          <w:szCs w:val="20"/>
          <w:color w:val="auto"/>
        </w:rPr>
      </w:pPr>
    </w:p>
    <w:p>
      <w:pPr>
        <w:spacing w:after="0"/>
        <w:rPr>
          <w:rFonts w:ascii="Arial" w:cs="Arial" w:eastAsia="Arial" w:hAnsi="Arial"/>
          <w:sz w:val="14"/>
          <w:szCs w:val="14"/>
          <w:b w:val="1"/>
          <w:bCs w:val="1"/>
          <w:u w:val="single" w:color="auto"/>
          <w:color w:val="0000FF"/>
        </w:rPr>
      </w:pPr>
      <w:hyperlink w:anchor="page21">
        <w:r>
          <w:rPr>
            <w:rFonts w:ascii="Arial" w:cs="Arial" w:eastAsia="Arial" w:hAnsi="Arial"/>
            <w:sz w:val="14"/>
            <w:szCs w:val="14"/>
            <w:b w:val="1"/>
            <w:bCs w:val="1"/>
            <w:u w:val="single" w:color="auto"/>
            <w:color w:val="0000FF"/>
          </w:rPr>
          <w:t>THE BOARD OF DIRECTORS AND ITS COMMITTEES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21">
        <w:r>
          <w:rPr>
            <w:rFonts w:ascii="Arial" w:cs="Arial" w:eastAsia="Arial" w:hAnsi="Arial"/>
            <w:sz w:val="13"/>
            <w:szCs w:val="13"/>
            <w:u w:val="single" w:color="auto"/>
            <w:color w:val="0000FF"/>
          </w:rPr>
          <w:t>Board Responsibilities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2">
        <w:r>
          <w:rPr>
            <w:rFonts w:ascii="Arial" w:cs="Arial" w:eastAsia="Arial" w:hAnsi="Arial"/>
            <w:sz w:val="13"/>
            <w:szCs w:val="13"/>
            <w:u w:val="single" w:color="auto"/>
            <w:color w:val="0000FF"/>
          </w:rPr>
          <w:t>Board Committees</w:t>
        </w:r>
      </w:hyperlink>
    </w:p>
    <w:p>
      <w:pPr>
        <w:spacing w:after="0" w:line="221" w:lineRule="exact"/>
        <w:rPr>
          <w:sz w:val="20"/>
          <w:szCs w:val="20"/>
          <w:color w:val="auto"/>
        </w:rPr>
      </w:pPr>
    </w:p>
    <w:p>
      <w:pPr>
        <w:spacing w:after="0"/>
        <w:rPr>
          <w:rFonts w:ascii="Arial" w:cs="Arial" w:eastAsia="Arial" w:hAnsi="Arial"/>
          <w:sz w:val="14"/>
          <w:szCs w:val="14"/>
          <w:b w:val="1"/>
          <w:bCs w:val="1"/>
          <w:u w:val="single" w:color="auto"/>
          <w:color w:val="0000FF"/>
        </w:rPr>
      </w:pPr>
      <w:hyperlink w:anchor="page23">
        <w:r>
          <w:rPr>
            <w:rFonts w:ascii="Arial" w:cs="Arial" w:eastAsia="Arial" w:hAnsi="Arial"/>
            <w:sz w:val="14"/>
            <w:szCs w:val="14"/>
            <w:b w:val="1"/>
            <w:bCs w:val="1"/>
            <w:u w:val="single" w:color="auto"/>
            <w:color w:val="0000FF"/>
          </w:rPr>
          <w:t>DIRECTOR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rFonts w:ascii="Arial" w:cs="Arial" w:eastAsia="Arial" w:hAnsi="Arial"/>
          <w:sz w:val="13"/>
          <w:szCs w:val="13"/>
          <w:color w:val="auto"/>
        </w:rPr>
      </w:pPr>
      <w:hyperlink w:anchor="page6">
        <w:r>
          <w:rPr>
            <w:rFonts w:ascii="Arial" w:cs="Arial" w:eastAsia="Arial" w:hAnsi="Arial"/>
            <w:sz w:val="13"/>
            <w:szCs w:val="13"/>
            <w:color w:val="auto"/>
          </w:rPr>
          <w:t>1</w:t>
        </w:r>
      </w:hyperlink>
    </w:p>
    <w:p>
      <w:pPr>
        <w:spacing w:after="0" w:line="49" w:lineRule="exact"/>
        <w:rPr>
          <w:sz w:val="20"/>
          <w:szCs w:val="20"/>
          <w:color w:val="auto"/>
        </w:rPr>
      </w:pPr>
    </w:p>
    <w:p>
      <w:pPr>
        <w:jc w:val="right"/>
        <w:spacing w:after="0"/>
        <w:rPr>
          <w:rFonts w:ascii="Arial" w:cs="Arial" w:eastAsia="Arial" w:hAnsi="Arial"/>
          <w:sz w:val="13"/>
          <w:szCs w:val="13"/>
          <w:color w:val="auto"/>
        </w:rPr>
      </w:pPr>
      <w:hyperlink w:anchor="page7">
        <w:r>
          <w:rPr>
            <w:rFonts w:ascii="Arial" w:cs="Arial" w:eastAsia="Arial" w:hAnsi="Arial"/>
            <w:sz w:val="13"/>
            <w:szCs w:val="13"/>
            <w:color w:val="auto"/>
          </w:rPr>
          <w:t>1</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7">
        <w:r>
          <w:rPr>
            <w:rFonts w:ascii="Arial" w:cs="Arial" w:eastAsia="Arial" w:hAnsi="Arial"/>
            <w:sz w:val="13"/>
            <w:szCs w:val="13"/>
            <w:color w:val="auto"/>
          </w:rPr>
          <w:t>1</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7">
        <w:r>
          <w:rPr>
            <w:rFonts w:ascii="Arial" w:cs="Arial" w:eastAsia="Arial" w:hAnsi="Arial"/>
            <w:sz w:val="13"/>
            <w:szCs w:val="13"/>
            <w:color w:val="auto"/>
          </w:rPr>
          <w:t>2</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2</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2</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2</w:t>
        </w:r>
      </w:hyperlink>
    </w:p>
    <w:p>
      <w:pPr>
        <w:spacing w:after="0" w:line="220" w:lineRule="exact"/>
        <w:rPr>
          <w:sz w:val="20"/>
          <w:szCs w:val="20"/>
          <w:color w:val="auto"/>
        </w:rPr>
      </w:pPr>
    </w:p>
    <w:p>
      <w:pPr>
        <w:jc w:val="right"/>
        <w:spacing w:after="0"/>
        <w:rPr>
          <w:rFonts w:ascii="Arial" w:cs="Arial" w:eastAsia="Arial" w:hAnsi="Arial"/>
          <w:sz w:val="13"/>
          <w:szCs w:val="13"/>
          <w:color w:val="auto"/>
        </w:rPr>
      </w:pPr>
      <w:hyperlink w:anchor="page8">
        <w:r>
          <w:rPr>
            <w:rFonts w:ascii="Arial" w:cs="Arial" w:eastAsia="Arial" w:hAnsi="Arial"/>
            <w:sz w:val="13"/>
            <w:szCs w:val="13"/>
            <w:color w:val="auto"/>
          </w:rPr>
          <w:t>3</w:t>
        </w:r>
      </w:hyperlink>
    </w:p>
    <w:p>
      <w:pPr>
        <w:spacing w:after="0" w:line="229" w:lineRule="exact"/>
        <w:rPr>
          <w:sz w:val="20"/>
          <w:szCs w:val="20"/>
          <w:color w:val="auto"/>
        </w:rPr>
      </w:pPr>
    </w:p>
    <w:p>
      <w:pPr>
        <w:jc w:val="right"/>
        <w:spacing w:after="0"/>
        <w:rPr>
          <w:rFonts w:ascii="Arial" w:cs="Arial" w:eastAsia="Arial" w:hAnsi="Arial"/>
          <w:sz w:val="13"/>
          <w:szCs w:val="13"/>
          <w:color w:val="auto"/>
        </w:rPr>
      </w:pPr>
      <w:hyperlink w:anchor="page9">
        <w:r>
          <w:rPr>
            <w:rFonts w:ascii="Arial" w:cs="Arial" w:eastAsia="Arial" w:hAnsi="Arial"/>
            <w:sz w:val="13"/>
            <w:szCs w:val="13"/>
            <w:color w:val="auto"/>
          </w:rPr>
          <w:t>3</w:t>
        </w:r>
      </w:hyperlink>
    </w:p>
    <w:p>
      <w:pPr>
        <w:spacing w:after="0" w:line="229" w:lineRule="exact"/>
        <w:rPr>
          <w:sz w:val="20"/>
          <w:szCs w:val="20"/>
          <w:color w:val="auto"/>
        </w:rPr>
      </w:pPr>
    </w:p>
    <w:p>
      <w:pPr>
        <w:jc w:val="right"/>
        <w:spacing w:after="0"/>
        <w:rPr>
          <w:rFonts w:ascii="Arial" w:cs="Arial" w:eastAsia="Arial" w:hAnsi="Arial"/>
          <w:sz w:val="13"/>
          <w:szCs w:val="13"/>
          <w:color w:val="auto"/>
        </w:rPr>
      </w:pPr>
      <w:hyperlink w:anchor="page12">
        <w:r>
          <w:rPr>
            <w:rFonts w:ascii="Arial" w:cs="Arial" w:eastAsia="Arial" w:hAnsi="Arial"/>
            <w:sz w:val="13"/>
            <w:szCs w:val="13"/>
            <w:color w:val="auto"/>
          </w:rPr>
          <w:t>7</w:t>
        </w:r>
      </w:hyperlink>
    </w:p>
    <w:p>
      <w:pPr>
        <w:spacing w:after="0" w:line="49" w:lineRule="exact"/>
        <w:rPr>
          <w:sz w:val="20"/>
          <w:szCs w:val="20"/>
          <w:color w:val="auto"/>
        </w:rPr>
      </w:pPr>
    </w:p>
    <w:p>
      <w:pPr>
        <w:jc w:val="right"/>
        <w:spacing w:after="0"/>
        <w:rPr>
          <w:rFonts w:ascii="Arial" w:cs="Arial" w:eastAsia="Arial" w:hAnsi="Arial"/>
          <w:sz w:val="13"/>
          <w:szCs w:val="13"/>
          <w:color w:val="auto"/>
        </w:rPr>
      </w:pPr>
      <w:hyperlink w:anchor="page13">
        <w:r>
          <w:rPr>
            <w:rFonts w:ascii="Arial" w:cs="Arial" w:eastAsia="Arial" w:hAnsi="Arial"/>
            <w:sz w:val="13"/>
            <w:szCs w:val="13"/>
            <w:color w:val="auto"/>
          </w:rPr>
          <w:t>7</w:t>
        </w:r>
      </w:hyperlink>
    </w:p>
    <w:p>
      <w:pPr>
        <w:spacing w:after="0" w:line="200" w:lineRule="exact"/>
        <w:rPr>
          <w:sz w:val="20"/>
          <w:szCs w:val="20"/>
          <w:color w:val="auto"/>
        </w:rPr>
      </w:pPr>
    </w:p>
    <w:p>
      <w:pPr>
        <w:spacing w:after="0" w:line="380" w:lineRule="exact"/>
        <w:rPr>
          <w:sz w:val="20"/>
          <w:szCs w:val="20"/>
          <w:color w:val="auto"/>
        </w:rPr>
      </w:pPr>
    </w:p>
    <w:p>
      <w:pPr>
        <w:jc w:val="right"/>
        <w:spacing w:after="0"/>
        <w:rPr>
          <w:rFonts w:ascii="Arial" w:cs="Arial" w:eastAsia="Arial" w:hAnsi="Arial"/>
          <w:sz w:val="13"/>
          <w:szCs w:val="13"/>
          <w:color w:val="auto"/>
        </w:rPr>
      </w:pPr>
      <w:hyperlink w:anchor="page14">
        <w:r>
          <w:rPr>
            <w:rFonts w:ascii="Arial" w:cs="Arial" w:eastAsia="Arial" w:hAnsi="Arial"/>
            <w:sz w:val="13"/>
            <w:szCs w:val="13"/>
            <w:color w:val="auto"/>
          </w:rPr>
          <w:t>8</w:t>
        </w:r>
      </w:hyperlink>
    </w:p>
    <w:p>
      <w:pPr>
        <w:spacing w:after="0" w:line="49" w:lineRule="exact"/>
        <w:rPr>
          <w:sz w:val="20"/>
          <w:szCs w:val="20"/>
          <w:color w:val="auto"/>
        </w:rPr>
      </w:pPr>
    </w:p>
    <w:p>
      <w:pPr>
        <w:jc w:val="right"/>
        <w:spacing w:after="0"/>
        <w:rPr>
          <w:rFonts w:ascii="Arial" w:cs="Arial" w:eastAsia="Arial" w:hAnsi="Arial"/>
          <w:sz w:val="13"/>
          <w:szCs w:val="13"/>
          <w:color w:val="auto"/>
        </w:rPr>
      </w:pPr>
      <w:hyperlink w:anchor="page14">
        <w:r>
          <w:rPr>
            <w:rFonts w:ascii="Arial" w:cs="Arial" w:eastAsia="Arial" w:hAnsi="Arial"/>
            <w:sz w:val="13"/>
            <w:szCs w:val="13"/>
            <w:color w:val="auto"/>
          </w:rPr>
          <w:t>8</w:t>
        </w:r>
      </w:hyperlink>
    </w:p>
    <w:p>
      <w:pPr>
        <w:spacing w:after="0" w:line="40" w:lineRule="exact"/>
        <w:rPr>
          <w:sz w:val="20"/>
          <w:szCs w:val="20"/>
          <w:color w:val="auto"/>
        </w:rPr>
      </w:pPr>
    </w:p>
    <w:p>
      <w:pPr>
        <w:jc w:val="right"/>
        <w:spacing w:after="0"/>
        <w:rPr>
          <w:rFonts w:ascii="Arial" w:cs="Arial" w:eastAsia="Arial" w:hAnsi="Arial"/>
          <w:sz w:val="13"/>
          <w:szCs w:val="13"/>
          <w:color w:val="auto"/>
        </w:rPr>
      </w:pPr>
      <w:hyperlink w:anchor="page15">
        <w:r>
          <w:rPr>
            <w:rFonts w:ascii="Arial" w:cs="Arial" w:eastAsia="Arial" w:hAnsi="Arial"/>
            <w:sz w:val="13"/>
            <w:szCs w:val="13"/>
            <w:color w:val="auto"/>
          </w:rPr>
          <w:t>9</w:t>
        </w:r>
      </w:hyperlink>
    </w:p>
    <w:p>
      <w:pPr>
        <w:spacing w:after="0" w:line="220" w:lineRule="exact"/>
        <w:rPr>
          <w:sz w:val="20"/>
          <w:szCs w:val="20"/>
          <w:color w:val="auto"/>
        </w:rPr>
      </w:pPr>
    </w:p>
    <w:p>
      <w:pPr>
        <w:spacing w:after="0"/>
        <w:rPr>
          <w:rFonts w:ascii="Arial" w:cs="Arial" w:eastAsia="Arial" w:hAnsi="Arial"/>
          <w:sz w:val="10"/>
          <w:szCs w:val="10"/>
          <w:color w:val="auto"/>
        </w:rPr>
      </w:pPr>
      <w:hyperlink w:anchor="page17">
        <w:r>
          <w:rPr>
            <w:rFonts w:ascii="Arial" w:cs="Arial" w:eastAsia="Arial" w:hAnsi="Arial"/>
            <w:sz w:val="10"/>
            <w:szCs w:val="10"/>
            <w:color w:val="auto"/>
          </w:rPr>
          <w:t>12</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18">
        <w:r>
          <w:rPr>
            <w:rFonts w:ascii="Arial" w:cs="Arial" w:eastAsia="Arial" w:hAnsi="Arial"/>
            <w:sz w:val="10"/>
            <w:szCs w:val="10"/>
            <w:color w:val="auto"/>
          </w:rPr>
          <w:t>12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8">
        <w:r>
          <w:rPr>
            <w:rFonts w:ascii="Arial" w:cs="Arial" w:eastAsia="Arial" w:hAnsi="Arial"/>
            <w:sz w:val="10"/>
            <w:szCs w:val="10"/>
            <w:color w:val="auto"/>
          </w:rPr>
          <w:t>12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8">
        <w:r>
          <w:rPr>
            <w:rFonts w:ascii="Arial" w:cs="Arial" w:eastAsia="Arial" w:hAnsi="Arial"/>
            <w:sz w:val="10"/>
            <w:szCs w:val="10"/>
            <w:color w:val="auto"/>
          </w:rPr>
          <w:t>12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8">
        <w:r>
          <w:rPr>
            <w:rFonts w:ascii="Arial" w:cs="Arial" w:eastAsia="Arial" w:hAnsi="Arial"/>
            <w:sz w:val="10"/>
            <w:szCs w:val="10"/>
            <w:color w:val="auto"/>
          </w:rPr>
          <w:t>12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9">
        <w:r>
          <w:rPr>
            <w:rFonts w:ascii="Arial" w:cs="Arial" w:eastAsia="Arial" w:hAnsi="Arial"/>
            <w:sz w:val="10"/>
            <w:szCs w:val="10"/>
            <w:color w:val="auto"/>
          </w:rPr>
          <w:t>13</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9">
        <w:r>
          <w:rPr>
            <w:rFonts w:ascii="Arial" w:cs="Arial" w:eastAsia="Arial" w:hAnsi="Arial"/>
            <w:sz w:val="10"/>
            <w:szCs w:val="10"/>
            <w:color w:val="auto"/>
          </w:rPr>
          <w:t>13</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9">
        <w:r>
          <w:rPr>
            <w:rFonts w:ascii="Arial" w:cs="Arial" w:eastAsia="Arial" w:hAnsi="Arial"/>
            <w:sz w:val="10"/>
            <w:szCs w:val="10"/>
            <w:color w:val="auto"/>
          </w:rPr>
          <w:t>13</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19">
        <w:r>
          <w:rPr>
            <w:rFonts w:ascii="Arial" w:cs="Arial" w:eastAsia="Arial" w:hAnsi="Arial"/>
            <w:sz w:val="10"/>
            <w:szCs w:val="10"/>
            <w:color w:val="auto"/>
          </w:rPr>
          <w:t>14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0">
        <w:r>
          <w:rPr>
            <w:rFonts w:ascii="Arial" w:cs="Arial" w:eastAsia="Arial" w:hAnsi="Arial"/>
            <w:sz w:val="10"/>
            <w:szCs w:val="10"/>
            <w:color w:val="auto"/>
          </w:rPr>
          <w:t>14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0">
        <w:r>
          <w:rPr>
            <w:rFonts w:ascii="Arial" w:cs="Arial" w:eastAsia="Arial" w:hAnsi="Arial"/>
            <w:sz w:val="10"/>
            <w:szCs w:val="10"/>
            <w:color w:val="auto"/>
          </w:rPr>
          <w:t>15</w:t>
        </w:r>
      </w:hyperlink>
    </w:p>
    <w:p>
      <w:pPr>
        <w:spacing w:after="0" w:line="263" w:lineRule="exact"/>
        <w:rPr>
          <w:sz w:val="20"/>
          <w:szCs w:val="20"/>
          <w:color w:val="auto"/>
        </w:rPr>
      </w:pPr>
    </w:p>
    <w:p>
      <w:pPr>
        <w:spacing w:after="0"/>
        <w:rPr>
          <w:rFonts w:ascii="Arial" w:cs="Arial" w:eastAsia="Arial" w:hAnsi="Arial"/>
          <w:sz w:val="10"/>
          <w:szCs w:val="10"/>
          <w:color w:val="auto"/>
        </w:rPr>
      </w:pPr>
      <w:hyperlink w:anchor="page20">
        <w:r>
          <w:rPr>
            <w:rFonts w:ascii="Arial" w:cs="Arial" w:eastAsia="Arial" w:hAnsi="Arial"/>
            <w:sz w:val="10"/>
            <w:szCs w:val="10"/>
            <w:color w:val="auto"/>
          </w:rPr>
          <w:t>15</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20">
        <w:r>
          <w:rPr>
            <w:rFonts w:ascii="Arial" w:cs="Arial" w:eastAsia="Arial" w:hAnsi="Arial"/>
            <w:sz w:val="10"/>
            <w:szCs w:val="10"/>
            <w:color w:val="auto"/>
          </w:rPr>
          <w:t>15</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0">
        <w:r>
          <w:rPr>
            <w:rFonts w:ascii="Arial" w:cs="Arial" w:eastAsia="Arial" w:hAnsi="Arial"/>
            <w:sz w:val="10"/>
            <w:szCs w:val="10"/>
            <w:color w:val="auto"/>
          </w:rPr>
          <w:t>15</w:t>
        </w:r>
      </w:hyperlink>
    </w:p>
    <w:p>
      <w:pPr>
        <w:spacing w:after="0" w:line="263" w:lineRule="exact"/>
        <w:rPr>
          <w:sz w:val="20"/>
          <w:szCs w:val="20"/>
          <w:color w:val="auto"/>
        </w:rPr>
      </w:pPr>
    </w:p>
    <w:p>
      <w:pPr>
        <w:spacing w:after="0"/>
        <w:rPr>
          <w:rFonts w:ascii="Arial" w:cs="Arial" w:eastAsia="Arial" w:hAnsi="Arial"/>
          <w:sz w:val="10"/>
          <w:szCs w:val="10"/>
          <w:color w:val="auto"/>
        </w:rPr>
      </w:pPr>
      <w:hyperlink w:anchor="page21">
        <w:r>
          <w:rPr>
            <w:rFonts w:ascii="Arial" w:cs="Arial" w:eastAsia="Arial" w:hAnsi="Arial"/>
            <w:sz w:val="10"/>
            <w:szCs w:val="10"/>
            <w:color w:val="auto"/>
          </w:rPr>
          <w:t>15</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21">
        <w:r>
          <w:rPr>
            <w:rFonts w:ascii="Arial" w:cs="Arial" w:eastAsia="Arial" w:hAnsi="Arial"/>
            <w:sz w:val="10"/>
            <w:szCs w:val="10"/>
            <w:color w:val="auto"/>
          </w:rPr>
          <w:t>15</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2">
        <w:r>
          <w:rPr>
            <w:rFonts w:ascii="Arial" w:cs="Arial" w:eastAsia="Arial" w:hAnsi="Arial"/>
            <w:sz w:val="10"/>
            <w:szCs w:val="10"/>
            <w:color w:val="auto"/>
          </w:rPr>
          <w:t>16</w:t>
        </w:r>
      </w:hyperlink>
    </w:p>
    <w:p>
      <w:pPr>
        <w:spacing w:after="0" w:line="272" w:lineRule="exact"/>
        <w:rPr>
          <w:sz w:val="20"/>
          <w:szCs w:val="20"/>
          <w:color w:val="auto"/>
        </w:rPr>
      </w:pPr>
    </w:p>
    <w:p>
      <w:pPr>
        <w:spacing w:after="0"/>
        <w:rPr>
          <w:rFonts w:ascii="Arial" w:cs="Arial" w:eastAsia="Arial" w:hAnsi="Arial"/>
          <w:sz w:val="10"/>
          <w:szCs w:val="10"/>
          <w:color w:val="auto"/>
        </w:rPr>
      </w:pPr>
      <w:hyperlink w:anchor="page23">
        <w:r>
          <w:rPr>
            <w:rFonts w:ascii="Arial" w:cs="Arial" w:eastAsia="Arial" w:hAnsi="Arial"/>
            <w:sz w:val="10"/>
            <w:szCs w:val="10"/>
            <w:color w:val="auto"/>
          </w:rPr>
          <w:t>17</w:t>
        </w:r>
      </w:hyperlink>
    </w:p>
    <w:p>
      <w:pPr>
        <w:sectPr>
          <w:pgSz w:w="11900" w:h="16838" w:orient="portrait"/>
          <w:cols w:equalWidth="0" w:num="2">
            <w:col w:w="10440" w:space="720"/>
            <w:col w:w="120"/>
          </w:cols>
          <w:pgMar w:left="300" w:top="131" w:right="31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71780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272415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340"/>
        <w:spacing w:after="0"/>
        <w:tabs>
          <w:tab w:leader="none" w:pos="2360" w:val="left"/>
        </w:tabs>
        <w:rPr>
          <w:rFonts w:ascii="Arial" w:cs="Arial" w:eastAsia="Arial" w:hAnsi="Arial"/>
          <w:sz w:val="14"/>
          <w:szCs w:val="14"/>
          <w:b w:val="1"/>
          <w:bCs w:val="1"/>
          <w:u w:val="single" w:color="auto"/>
          <w:color w:val="0000FF"/>
        </w:rPr>
      </w:pPr>
      <w:hyperlink w:anchor="page23">
        <w:r>
          <w:rPr>
            <w:rFonts w:ascii="Arial" w:cs="Arial" w:eastAsia="Arial" w:hAnsi="Arial"/>
            <w:sz w:val="14"/>
            <w:szCs w:val="14"/>
            <w:b w:val="1"/>
            <w:bCs w:val="1"/>
            <w:u w:val="single" w:color="auto"/>
            <w:color w:val="0000FF"/>
          </w:rPr>
          <w:t>PROPOSAL 2</w:t>
        </w:r>
      </w:hyperlink>
      <w:r>
        <w:rPr>
          <w:rFonts w:ascii="Arial" w:cs="Arial" w:eastAsia="Arial" w:hAnsi="Arial"/>
          <w:sz w:val="14"/>
          <w:szCs w:val="14"/>
          <w:b w:val="1"/>
          <w:bCs w:val="1"/>
          <w:u w:val="single" w:color="auto"/>
          <w:color w:val="0000FF"/>
        </w:rPr>
        <w:tab/>
      </w:r>
      <w:hyperlink w:anchor="page23">
        <w:r>
          <w:rPr>
            <w:rFonts w:ascii="Arial" w:cs="Arial" w:eastAsia="Arial" w:hAnsi="Arial"/>
            <w:sz w:val="14"/>
            <w:szCs w:val="14"/>
            <w:b w:val="1"/>
            <w:bCs w:val="1"/>
            <w:u w:val="single" w:color="auto"/>
            <w:color w:val="0000FF"/>
          </w:rPr>
          <w:t>TO RATIFY THE APPOINTMENT OF INDEPENDENT REGISTERED PUBLIC ACCOUNTANTS FOR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8" w:lineRule="exact"/>
        <w:rPr>
          <w:sz w:val="20"/>
          <w:szCs w:val="20"/>
          <w:color w:val="auto"/>
        </w:rPr>
      </w:pPr>
    </w:p>
    <w:p>
      <w:pPr>
        <w:spacing w:after="0"/>
        <w:rPr>
          <w:rFonts w:ascii="Arial" w:cs="Arial" w:eastAsia="Arial" w:hAnsi="Arial"/>
          <w:sz w:val="14"/>
          <w:szCs w:val="14"/>
          <w:b w:val="1"/>
          <w:bCs w:val="1"/>
          <w:u w:val="single" w:color="auto"/>
          <w:color w:val="0000FF"/>
        </w:rPr>
      </w:pPr>
      <w:hyperlink w:anchor="page25">
        <w:r>
          <w:rPr>
            <w:rFonts w:ascii="Arial" w:cs="Arial" w:eastAsia="Arial" w:hAnsi="Arial"/>
            <w:sz w:val="14"/>
            <w:szCs w:val="14"/>
            <w:b w:val="1"/>
            <w:bCs w:val="1"/>
            <w:u w:val="single" w:color="auto"/>
            <w:color w:val="0000FF"/>
          </w:rPr>
          <w:t>AUDIT-RELATED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25">
        <w:r>
          <w:rPr>
            <w:rFonts w:ascii="Arial" w:cs="Arial" w:eastAsia="Arial" w:hAnsi="Arial"/>
            <w:sz w:val="13"/>
            <w:szCs w:val="13"/>
            <w:u w:val="single" w:color="auto"/>
            <w:color w:val="0000FF"/>
          </w:rPr>
          <w:t>Report of the Audit Committee</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5">
        <w:r>
          <w:rPr>
            <w:rFonts w:ascii="Arial" w:cs="Arial" w:eastAsia="Arial" w:hAnsi="Arial"/>
            <w:sz w:val="13"/>
            <w:szCs w:val="13"/>
            <w:u w:val="single" w:color="auto"/>
            <w:color w:val="0000FF"/>
          </w:rPr>
          <w:t>Audit Committee Financial Expert</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6">
        <w:r>
          <w:rPr>
            <w:rFonts w:ascii="Arial" w:cs="Arial" w:eastAsia="Arial" w:hAnsi="Arial"/>
            <w:sz w:val="13"/>
            <w:szCs w:val="13"/>
            <w:u w:val="single" w:color="auto"/>
            <w:color w:val="0000FF"/>
          </w:rPr>
          <w:t>Principal Accounting Firm Fees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6">
        <w:r>
          <w:rPr>
            <w:rFonts w:ascii="Arial" w:cs="Arial" w:eastAsia="Arial" w:hAnsi="Arial"/>
            <w:sz w:val="13"/>
            <w:szCs w:val="13"/>
            <w:u w:val="single" w:color="auto"/>
            <w:color w:val="0000FF"/>
          </w:rPr>
          <w:t>Pre-approval Policies and Procedures</w:t>
        </w:r>
      </w:hyperlink>
    </w:p>
    <w:p>
      <w:pPr>
        <w:spacing w:after="0" w:line="212" w:lineRule="exact"/>
        <w:rPr>
          <w:sz w:val="20"/>
          <w:szCs w:val="20"/>
          <w:color w:val="auto"/>
        </w:rPr>
      </w:pPr>
    </w:p>
    <w:p>
      <w:pPr>
        <w:spacing w:after="0"/>
        <w:rPr>
          <w:rFonts w:ascii="Arial" w:cs="Arial" w:eastAsia="Arial" w:hAnsi="Arial"/>
          <w:sz w:val="14"/>
          <w:szCs w:val="14"/>
          <w:b w:val="1"/>
          <w:bCs w:val="1"/>
          <w:u w:val="single" w:color="auto"/>
          <w:color w:val="0000FF"/>
        </w:rPr>
      </w:pPr>
      <w:hyperlink w:anchor="page26">
        <w:r>
          <w:rPr>
            <w:rFonts w:ascii="Arial" w:cs="Arial" w:eastAsia="Arial" w:hAnsi="Arial"/>
            <w:sz w:val="14"/>
            <w:szCs w:val="14"/>
            <w:b w:val="1"/>
            <w:bCs w:val="1"/>
            <w:u w:val="single" w:color="auto"/>
            <w:color w:val="0000FF"/>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26">
        <w:r>
          <w:rPr>
            <w:rFonts w:ascii="Arial" w:cs="Arial" w:eastAsia="Arial" w:hAnsi="Arial"/>
            <w:sz w:val="13"/>
            <w:szCs w:val="13"/>
            <w:u w:val="single" w:color="auto"/>
            <w:color w:val="0000FF"/>
          </w:rPr>
          <w:t>Compensation Committee Report</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26">
        <w:r>
          <w:rPr>
            <w:rFonts w:ascii="Arial" w:cs="Arial" w:eastAsia="Arial" w:hAnsi="Arial"/>
            <w:sz w:val="13"/>
            <w:szCs w:val="13"/>
            <w:u w:val="single" w:color="auto"/>
            <w:color w:val="0000FF"/>
          </w:rPr>
          <w:t>Compensation Discussion and Analysis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7">
        <w:r>
          <w:rPr>
            <w:rFonts w:ascii="Arial" w:cs="Arial" w:eastAsia="Arial" w:hAnsi="Arial"/>
            <w:sz w:val="13"/>
            <w:szCs w:val="13"/>
            <w:u w:val="single" w:color="auto"/>
            <w:color w:val="0000FF"/>
          </w:rPr>
          <w:t>2020 Accomplishments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7">
        <w:r>
          <w:rPr>
            <w:rFonts w:ascii="Arial" w:cs="Arial" w:eastAsia="Arial" w:hAnsi="Arial"/>
            <w:sz w:val="13"/>
            <w:szCs w:val="13"/>
            <w:u w:val="single" w:color="auto"/>
            <w:color w:val="0000FF"/>
          </w:rPr>
          <w:t>Key Compensation Program Features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8">
        <w:r>
          <w:rPr>
            <w:rFonts w:ascii="Arial" w:cs="Arial" w:eastAsia="Arial" w:hAnsi="Arial"/>
            <w:sz w:val="13"/>
            <w:szCs w:val="13"/>
            <w:u w:val="single" w:color="auto"/>
            <w:color w:val="0000FF"/>
          </w:rPr>
          <w:t>Compensation Program Objectives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8">
        <w:r>
          <w:rPr>
            <w:rFonts w:ascii="Arial" w:cs="Arial" w:eastAsia="Arial" w:hAnsi="Arial"/>
            <w:sz w:val="13"/>
            <w:szCs w:val="13"/>
            <w:u w:val="single" w:color="auto"/>
            <w:color w:val="0000FF"/>
          </w:rPr>
          <w:t>Advisory Vote on Executive Compensation</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8">
        <w:r>
          <w:rPr>
            <w:rFonts w:ascii="Arial" w:cs="Arial" w:eastAsia="Arial" w:hAnsi="Arial"/>
            <w:sz w:val="13"/>
            <w:szCs w:val="13"/>
            <w:u w:val="single" w:color="auto"/>
            <w:color w:val="0000FF"/>
          </w:rPr>
          <w:t>Compensation Components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29">
        <w:r>
          <w:rPr>
            <w:rFonts w:ascii="Arial" w:cs="Arial" w:eastAsia="Arial" w:hAnsi="Arial"/>
            <w:sz w:val="13"/>
            <w:szCs w:val="13"/>
            <w:u w:val="single" w:color="auto"/>
            <w:color w:val="0000FF"/>
          </w:rPr>
          <w:t>Roles and Responsibilities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30">
        <w:r>
          <w:rPr>
            <w:rFonts w:ascii="Arial" w:cs="Arial" w:eastAsia="Arial" w:hAnsi="Arial"/>
            <w:sz w:val="13"/>
            <w:szCs w:val="13"/>
            <w:u w:val="single" w:color="auto"/>
            <w:color w:val="0000FF"/>
          </w:rPr>
          <w:t>Determining Market Compensation</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34">
        <w:r>
          <w:rPr>
            <w:rFonts w:ascii="Arial" w:cs="Arial" w:eastAsia="Arial" w:hAnsi="Arial"/>
            <w:sz w:val="13"/>
            <w:szCs w:val="13"/>
            <w:u w:val="single" w:color="auto"/>
            <w:color w:val="0000FF"/>
          </w:rPr>
          <w:t>Other Compensation Matters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5">
        <w:r>
          <w:rPr>
            <w:rFonts w:ascii="Arial" w:cs="Arial" w:eastAsia="Arial" w:hAnsi="Arial"/>
            <w:sz w:val="13"/>
            <w:szCs w:val="13"/>
            <w:u w:val="single" w:color="auto"/>
            <w:color w:val="0000FF"/>
          </w:rPr>
          <w:t>Summary Compensation Table</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5">
        <w:r>
          <w:rPr>
            <w:rFonts w:ascii="Arial" w:cs="Arial" w:eastAsia="Arial" w:hAnsi="Arial"/>
            <w:sz w:val="13"/>
            <w:szCs w:val="13"/>
            <w:u w:val="single" w:color="auto"/>
            <w:color w:val="0000FF"/>
          </w:rPr>
          <w:t>Grants of Plan-Based Awards in 2020</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6">
        <w:r>
          <w:rPr>
            <w:rFonts w:ascii="Arial" w:cs="Arial" w:eastAsia="Arial" w:hAnsi="Arial"/>
            <w:sz w:val="13"/>
            <w:szCs w:val="13"/>
            <w:u w:val="single" w:color="auto"/>
            <w:color w:val="0000FF"/>
          </w:rPr>
          <w:t>Outstanding Equity Awards at Fiscal Year-End</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6">
        <w:r>
          <w:rPr>
            <w:rFonts w:ascii="Arial" w:cs="Arial" w:eastAsia="Arial" w:hAnsi="Arial"/>
            <w:sz w:val="13"/>
            <w:szCs w:val="13"/>
            <w:u w:val="single" w:color="auto"/>
            <w:color w:val="0000FF"/>
          </w:rPr>
          <w:t>Stock Vested</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Nonqualified Deferred Compensation</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38">
        <w:r>
          <w:rPr>
            <w:rFonts w:ascii="Arial" w:cs="Arial" w:eastAsia="Arial" w:hAnsi="Arial"/>
            <w:sz w:val="13"/>
            <w:szCs w:val="13"/>
            <w:u w:val="single" w:color="auto"/>
            <w:color w:val="0000FF"/>
          </w:rPr>
          <w:t>Potential Payments upon Termination or Change in Control</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38">
        <w:r>
          <w:rPr>
            <w:rFonts w:ascii="Arial" w:cs="Arial" w:eastAsia="Arial" w:hAnsi="Arial"/>
            <w:sz w:val="13"/>
            <w:szCs w:val="13"/>
            <w:u w:val="single" w:color="auto"/>
            <w:color w:val="0000FF"/>
          </w:rPr>
          <w:t>Employment Agreements</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38">
        <w:r>
          <w:rPr>
            <w:rFonts w:ascii="Arial" w:cs="Arial" w:eastAsia="Arial" w:hAnsi="Arial"/>
            <w:sz w:val="13"/>
            <w:szCs w:val="13"/>
            <w:u w:val="single" w:color="auto"/>
            <w:color w:val="0000FF"/>
          </w:rPr>
          <w:t>Potential Payments Upon Termination</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40">
        <w:r>
          <w:rPr>
            <w:rFonts w:ascii="Arial" w:cs="Arial" w:eastAsia="Arial" w:hAnsi="Arial"/>
            <w:sz w:val="13"/>
            <w:szCs w:val="13"/>
            <w:u w:val="single" w:color="auto"/>
            <w:color w:val="0000FF"/>
          </w:rPr>
          <w:t>Involuntary Termination Without Cause or Termination With Good Reason</w:t>
        </w:r>
      </w:hyperlink>
    </w:p>
    <w:p>
      <w:pPr>
        <w:spacing w:after="0" w:line="40" w:lineRule="exact"/>
        <w:rPr>
          <w:sz w:val="20"/>
          <w:szCs w:val="20"/>
          <w:color w:val="auto"/>
        </w:rPr>
      </w:pPr>
    </w:p>
    <w:p>
      <w:pPr>
        <w:ind w:left="160"/>
        <w:spacing w:after="0"/>
        <w:rPr>
          <w:rFonts w:ascii="Arial" w:cs="Arial" w:eastAsia="Arial" w:hAnsi="Arial"/>
          <w:sz w:val="13"/>
          <w:szCs w:val="13"/>
          <w:u w:val="single" w:color="auto"/>
          <w:color w:val="0000FF"/>
        </w:rPr>
      </w:pPr>
      <w:hyperlink w:anchor="page40">
        <w:r>
          <w:rPr>
            <w:rFonts w:ascii="Arial" w:cs="Arial" w:eastAsia="Arial" w:hAnsi="Arial"/>
            <w:sz w:val="13"/>
            <w:szCs w:val="13"/>
            <w:u w:val="single" w:color="auto"/>
            <w:color w:val="0000FF"/>
          </w:rPr>
          <w:t>Termination Following a Change in Control</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40">
        <w:r>
          <w:rPr>
            <w:rFonts w:ascii="Arial" w:cs="Arial" w:eastAsia="Arial" w:hAnsi="Arial"/>
            <w:sz w:val="13"/>
            <w:szCs w:val="13"/>
            <w:u w:val="single" w:color="auto"/>
            <w:color w:val="0000FF"/>
          </w:rPr>
          <w:t>Ratio of Annual Compensation for the CEO to our Median Employee</w:t>
        </w:r>
      </w:hyperlink>
    </w:p>
    <w:p>
      <w:pPr>
        <w:spacing w:after="0" w:line="212" w:lineRule="exact"/>
        <w:rPr>
          <w:sz w:val="20"/>
          <w:szCs w:val="20"/>
          <w:color w:val="auto"/>
        </w:rPr>
      </w:pPr>
    </w:p>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OTHER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ADDITIONAL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rFonts w:ascii="Arial" w:cs="Arial" w:eastAsia="Arial" w:hAnsi="Arial"/>
          <w:sz w:val="13"/>
          <w:szCs w:val="13"/>
          <w:u w:val="single" w:color="auto"/>
          <w:color w:val="0000FF"/>
        </w:rPr>
      </w:pPr>
      <w:hyperlink w:anchor="page41">
        <w:r>
          <w:rPr>
            <w:rFonts w:ascii="Arial" w:cs="Arial" w:eastAsia="Arial" w:hAnsi="Arial"/>
            <w:sz w:val="13"/>
            <w:szCs w:val="13"/>
            <w:u w:val="single" w:color="auto"/>
            <w:color w:val="0000FF"/>
          </w:rPr>
          <w:t>Stockholder Proposals and Nominations for the 2022 Annual Meeting</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42">
        <w:r>
          <w:rPr>
            <w:rFonts w:ascii="Arial" w:cs="Arial" w:eastAsia="Arial" w:hAnsi="Arial"/>
            <w:sz w:val="13"/>
            <w:szCs w:val="13"/>
            <w:u w:val="single" w:color="auto"/>
            <w:color w:val="0000FF"/>
          </w:rPr>
          <w:t>Electronic Delivery of Proxy Statement and Annual Report</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42">
        <w:r>
          <w:rPr>
            <w:rFonts w:ascii="Arial" w:cs="Arial" w:eastAsia="Arial" w:hAnsi="Arial"/>
            <w:sz w:val="13"/>
            <w:szCs w:val="13"/>
            <w:u w:val="single" w:color="auto"/>
            <w:color w:val="0000FF"/>
          </w:rPr>
          <w:t>Householding of Annual Meeting Materials</w:t>
        </w:r>
      </w:hyperlink>
    </w:p>
    <w:p>
      <w:pPr>
        <w:spacing w:after="0" w:line="40" w:lineRule="exact"/>
        <w:rPr>
          <w:sz w:val="20"/>
          <w:szCs w:val="20"/>
          <w:color w:val="auto"/>
        </w:rPr>
      </w:pPr>
    </w:p>
    <w:p>
      <w:pPr>
        <w:spacing w:after="0"/>
        <w:rPr>
          <w:rFonts w:ascii="Arial" w:cs="Arial" w:eastAsia="Arial" w:hAnsi="Arial"/>
          <w:sz w:val="13"/>
          <w:szCs w:val="13"/>
          <w:u w:val="single" w:color="auto"/>
          <w:color w:val="0000FF"/>
        </w:rPr>
      </w:pPr>
      <w:hyperlink w:anchor="page42">
        <w:r>
          <w:rPr>
            <w:rFonts w:ascii="Arial" w:cs="Arial" w:eastAsia="Arial" w:hAnsi="Arial"/>
            <w:sz w:val="13"/>
            <w:szCs w:val="13"/>
            <w:u w:val="single" w:color="auto"/>
            <w:color w:val="0000FF"/>
          </w:rPr>
          <w:t>Stockholder List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0"/>
          <w:szCs w:val="10"/>
          <w:color w:val="auto"/>
        </w:rPr>
      </w:pPr>
      <w:hyperlink w:anchor="page25">
        <w:r>
          <w:rPr>
            <w:rFonts w:ascii="Arial" w:cs="Arial" w:eastAsia="Arial" w:hAnsi="Arial"/>
            <w:sz w:val="10"/>
            <w:szCs w:val="10"/>
            <w:color w:val="auto"/>
          </w:rPr>
          <w:t>19</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25">
        <w:r>
          <w:rPr>
            <w:rFonts w:ascii="Arial" w:cs="Arial" w:eastAsia="Arial" w:hAnsi="Arial"/>
            <w:sz w:val="10"/>
            <w:szCs w:val="10"/>
            <w:color w:val="auto"/>
          </w:rPr>
          <w:t>19</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5">
        <w:r>
          <w:rPr>
            <w:rFonts w:ascii="Arial" w:cs="Arial" w:eastAsia="Arial" w:hAnsi="Arial"/>
            <w:sz w:val="10"/>
            <w:szCs w:val="10"/>
            <w:color w:val="auto"/>
          </w:rPr>
          <w:t>20</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6">
        <w:r>
          <w:rPr>
            <w:rFonts w:ascii="Arial" w:cs="Arial" w:eastAsia="Arial" w:hAnsi="Arial"/>
            <w:sz w:val="10"/>
            <w:szCs w:val="10"/>
            <w:color w:val="auto"/>
          </w:rPr>
          <w:t>20</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6">
        <w:r>
          <w:rPr>
            <w:rFonts w:ascii="Arial" w:cs="Arial" w:eastAsia="Arial" w:hAnsi="Arial"/>
            <w:sz w:val="10"/>
            <w:szCs w:val="10"/>
            <w:color w:val="auto"/>
          </w:rPr>
          <w:t>20</w:t>
        </w:r>
      </w:hyperlink>
    </w:p>
    <w:p>
      <w:pPr>
        <w:spacing w:after="0" w:line="263" w:lineRule="exact"/>
        <w:rPr>
          <w:sz w:val="20"/>
          <w:szCs w:val="20"/>
          <w:color w:val="auto"/>
        </w:rPr>
      </w:pPr>
    </w:p>
    <w:p>
      <w:pPr>
        <w:spacing w:after="0"/>
        <w:rPr>
          <w:rFonts w:ascii="Arial" w:cs="Arial" w:eastAsia="Arial" w:hAnsi="Arial"/>
          <w:sz w:val="10"/>
          <w:szCs w:val="10"/>
          <w:color w:val="auto"/>
        </w:rPr>
      </w:pPr>
      <w:hyperlink w:anchor="page26">
        <w:r>
          <w:rPr>
            <w:rFonts w:ascii="Arial" w:cs="Arial" w:eastAsia="Arial" w:hAnsi="Arial"/>
            <w:sz w:val="10"/>
            <w:szCs w:val="10"/>
            <w:color w:val="auto"/>
          </w:rPr>
          <w:t>20</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26">
        <w:r>
          <w:rPr>
            <w:rFonts w:ascii="Arial" w:cs="Arial" w:eastAsia="Arial" w:hAnsi="Arial"/>
            <w:sz w:val="10"/>
            <w:szCs w:val="10"/>
            <w:color w:val="auto"/>
          </w:rPr>
          <w:t>20</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6">
        <w:r>
          <w:rPr>
            <w:rFonts w:ascii="Arial" w:cs="Arial" w:eastAsia="Arial" w:hAnsi="Arial"/>
            <w:sz w:val="10"/>
            <w:szCs w:val="10"/>
            <w:color w:val="auto"/>
          </w:rPr>
          <w:t>21</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7">
        <w:r>
          <w:rPr>
            <w:rFonts w:ascii="Arial" w:cs="Arial" w:eastAsia="Arial" w:hAnsi="Arial"/>
            <w:sz w:val="10"/>
            <w:szCs w:val="10"/>
            <w:color w:val="auto"/>
          </w:rPr>
          <w:t>21</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7">
        <w:r>
          <w:rPr>
            <w:rFonts w:ascii="Arial" w:cs="Arial" w:eastAsia="Arial" w:hAnsi="Arial"/>
            <w:sz w:val="10"/>
            <w:szCs w:val="10"/>
            <w:color w:val="auto"/>
          </w:rPr>
          <w:t>21</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8">
        <w:r>
          <w:rPr>
            <w:rFonts w:ascii="Arial" w:cs="Arial" w:eastAsia="Arial" w:hAnsi="Arial"/>
            <w:sz w:val="10"/>
            <w:szCs w:val="10"/>
            <w:color w:val="auto"/>
          </w:rPr>
          <w:t>22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8">
        <w:r>
          <w:rPr>
            <w:rFonts w:ascii="Arial" w:cs="Arial" w:eastAsia="Arial" w:hAnsi="Arial"/>
            <w:sz w:val="10"/>
            <w:szCs w:val="10"/>
            <w:color w:val="auto"/>
          </w:rPr>
          <w:t>22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8">
        <w:r>
          <w:rPr>
            <w:rFonts w:ascii="Arial" w:cs="Arial" w:eastAsia="Arial" w:hAnsi="Arial"/>
            <w:sz w:val="10"/>
            <w:szCs w:val="10"/>
            <w:color w:val="auto"/>
          </w:rPr>
          <w:t>23</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29">
        <w:r>
          <w:rPr>
            <w:rFonts w:ascii="Arial" w:cs="Arial" w:eastAsia="Arial" w:hAnsi="Arial"/>
            <w:sz w:val="10"/>
            <w:szCs w:val="10"/>
            <w:color w:val="auto"/>
          </w:rPr>
          <w:t>24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0">
        <w:r>
          <w:rPr>
            <w:rFonts w:ascii="Arial" w:cs="Arial" w:eastAsia="Arial" w:hAnsi="Arial"/>
            <w:sz w:val="10"/>
            <w:szCs w:val="10"/>
            <w:color w:val="auto"/>
          </w:rPr>
          <w:t>24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4">
        <w:r>
          <w:rPr>
            <w:rFonts w:ascii="Arial" w:cs="Arial" w:eastAsia="Arial" w:hAnsi="Arial"/>
            <w:sz w:val="10"/>
            <w:szCs w:val="10"/>
            <w:color w:val="auto"/>
          </w:rPr>
          <w:t>28</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5">
        <w:r>
          <w:rPr>
            <w:rFonts w:ascii="Arial" w:cs="Arial" w:eastAsia="Arial" w:hAnsi="Arial"/>
            <w:sz w:val="10"/>
            <w:szCs w:val="10"/>
            <w:color w:val="auto"/>
          </w:rPr>
          <w:t>29</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6">
        <w:r>
          <w:rPr>
            <w:rFonts w:ascii="Arial" w:cs="Arial" w:eastAsia="Arial" w:hAnsi="Arial"/>
            <w:sz w:val="10"/>
            <w:szCs w:val="10"/>
            <w:color w:val="auto"/>
          </w:rPr>
          <w:t>30</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6">
        <w:r>
          <w:rPr>
            <w:rFonts w:ascii="Arial" w:cs="Arial" w:eastAsia="Arial" w:hAnsi="Arial"/>
            <w:sz w:val="10"/>
            <w:szCs w:val="10"/>
            <w:color w:val="auto"/>
          </w:rPr>
          <w:t>30</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6">
        <w:r>
          <w:rPr>
            <w:rFonts w:ascii="Arial" w:cs="Arial" w:eastAsia="Arial" w:hAnsi="Arial"/>
            <w:sz w:val="10"/>
            <w:szCs w:val="10"/>
            <w:color w:val="auto"/>
          </w:rPr>
          <w:t>31</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7">
        <w:r>
          <w:rPr>
            <w:rFonts w:ascii="Arial" w:cs="Arial" w:eastAsia="Arial" w:hAnsi="Arial"/>
            <w:sz w:val="10"/>
            <w:szCs w:val="10"/>
            <w:color w:val="auto"/>
          </w:rPr>
          <w:t>32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8">
        <w:r>
          <w:rPr>
            <w:rFonts w:ascii="Arial" w:cs="Arial" w:eastAsia="Arial" w:hAnsi="Arial"/>
            <w:sz w:val="10"/>
            <w:szCs w:val="10"/>
            <w:color w:val="auto"/>
          </w:rPr>
          <w:t>32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8">
        <w:r>
          <w:rPr>
            <w:rFonts w:ascii="Arial" w:cs="Arial" w:eastAsia="Arial" w:hAnsi="Arial"/>
            <w:sz w:val="10"/>
            <w:szCs w:val="10"/>
            <w:color w:val="auto"/>
          </w:rPr>
          <w:t>32</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38">
        <w:r>
          <w:rPr>
            <w:rFonts w:ascii="Arial" w:cs="Arial" w:eastAsia="Arial" w:hAnsi="Arial"/>
            <w:sz w:val="10"/>
            <w:szCs w:val="10"/>
            <w:color w:val="auto"/>
          </w:rPr>
          <w:t>33</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0">
        <w:r>
          <w:rPr>
            <w:rFonts w:ascii="Arial" w:cs="Arial" w:eastAsia="Arial" w:hAnsi="Arial"/>
            <w:sz w:val="10"/>
            <w:szCs w:val="10"/>
            <w:color w:val="auto"/>
          </w:rPr>
          <w:t>34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0">
        <w:r>
          <w:rPr>
            <w:rFonts w:ascii="Arial" w:cs="Arial" w:eastAsia="Arial" w:hAnsi="Arial"/>
            <w:sz w:val="10"/>
            <w:szCs w:val="10"/>
            <w:color w:val="auto"/>
          </w:rPr>
          <w:t>34</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0">
        <w:r>
          <w:rPr>
            <w:rFonts w:ascii="Arial" w:cs="Arial" w:eastAsia="Arial" w:hAnsi="Arial"/>
            <w:sz w:val="10"/>
            <w:szCs w:val="10"/>
            <w:color w:val="auto"/>
          </w:rPr>
          <w:t>34</w:t>
        </w:r>
      </w:hyperlink>
    </w:p>
    <w:p>
      <w:pPr>
        <w:spacing w:after="0" w:line="263" w:lineRule="exact"/>
        <w:rPr>
          <w:sz w:val="20"/>
          <w:szCs w:val="20"/>
          <w:color w:val="auto"/>
        </w:rPr>
      </w:pPr>
    </w:p>
    <w:p>
      <w:pPr>
        <w:spacing w:after="0"/>
        <w:rPr>
          <w:rFonts w:ascii="Arial" w:cs="Arial" w:eastAsia="Arial" w:hAnsi="Arial"/>
          <w:sz w:val="10"/>
          <w:szCs w:val="10"/>
          <w:color w:val="auto"/>
        </w:rPr>
      </w:pPr>
      <w:hyperlink w:anchor="page41">
        <w:r>
          <w:rPr>
            <w:rFonts w:ascii="Arial" w:cs="Arial" w:eastAsia="Arial" w:hAnsi="Arial"/>
            <w:sz w:val="10"/>
            <w:szCs w:val="10"/>
            <w:color w:val="auto"/>
          </w:rPr>
          <w:t>35</w:t>
        </w:r>
      </w:hyperlink>
    </w:p>
    <w:p>
      <w:pPr>
        <w:spacing w:after="0" w:line="263" w:lineRule="exact"/>
        <w:rPr>
          <w:sz w:val="20"/>
          <w:szCs w:val="20"/>
          <w:color w:val="auto"/>
        </w:rPr>
      </w:pPr>
    </w:p>
    <w:p>
      <w:pPr>
        <w:spacing w:after="0"/>
        <w:rPr>
          <w:rFonts w:ascii="Arial" w:cs="Arial" w:eastAsia="Arial" w:hAnsi="Arial"/>
          <w:sz w:val="10"/>
          <w:szCs w:val="10"/>
          <w:color w:val="auto"/>
        </w:rPr>
      </w:pPr>
      <w:hyperlink w:anchor="page41">
        <w:r>
          <w:rPr>
            <w:rFonts w:ascii="Arial" w:cs="Arial" w:eastAsia="Arial" w:hAnsi="Arial"/>
            <w:sz w:val="10"/>
            <w:szCs w:val="10"/>
            <w:color w:val="auto"/>
          </w:rPr>
          <w:t>35</w:t>
        </w:r>
      </w:hyperlink>
    </w:p>
    <w:p>
      <w:pPr>
        <w:spacing w:after="0" w:line="83" w:lineRule="exact"/>
        <w:rPr>
          <w:sz w:val="20"/>
          <w:szCs w:val="20"/>
          <w:color w:val="auto"/>
        </w:rPr>
      </w:pPr>
    </w:p>
    <w:p>
      <w:pPr>
        <w:spacing w:after="0"/>
        <w:rPr>
          <w:rFonts w:ascii="Arial" w:cs="Arial" w:eastAsia="Arial" w:hAnsi="Arial"/>
          <w:sz w:val="10"/>
          <w:szCs w:val="10"/>
          <w:color w:val="auto"/>
        </w:rPr>
      </w:pPr>
      <w:hyperlink w:anchor="page41">
        <w:r>
          <w:rPr>
            <w:rFonts w:ascii="Arial" w:cs="Arial" w:eastAsia="Arial" w:hAnsi="Arial"/>
            <w:sz w:val="10"/>
            <w:szCs w:val="10"/>
            <w:color w:val="auto"/>
          </w:rPr>
          <w:t>35</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2">
        <w:r>
          <w:rPr>
            <w:rFonts w:ascii="Arial" w:cs="Arial" w:eastAsia="Arial" w:hAnsi="Arial"/>
            <w:sz w:val="10"/>
            <w:szCs w:val="10"/>
            <w:color w:val="auto"/>
          </w:rPr>
          <w:t>36</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2">
        <w:r>
          <w:rPr>
            <w:rFonts w:ascii="Arial" w:cs="Arial" w:eastAsia="Arial" w:hAnsi="Arial"/>
            <w:sz w:val="10"/>
            <w:szCs w:val="10"/>
            <w:color w:val="auto"/>
          </w:rPr>
          <w:t>36</w:t>
        </w:r>
      </w:hyperlink>
    </w:p>
    <w:p>
      <w:pPr>
        <w:spacing w:after="0" w:line="74" w:lineRule="exact"/>
        <w:rPr>
          <w:sz w:val="20"/>
          <w:szCs w:val="20"/>
          <w:color w:val="auto"/>
        </w:rPr>
      </w:pPr>
    </w:p>
    <w:p>
      <w:pPr>
        <w:spacing w:after="0"/>
        <w:rPr>
          <w:rFonts w:ascii="Arial" w:cs="Arial" w:eastAsia="Arial" w:hAnsi="Arial"/>
          <w:sz w:val="10"/>
          <w:szCs w:val="10"/>
          <w:color w:val="auto"/>
        </w:rPr>
      </w:pPr>
      <w:hyperlink w:anchor="page42">
        <w:r>
          <w:rPr>
            <w:rFonts w:ascii="Arial" w:cs="Arial" w:eastAsia="Arial" w:hAnsi="Arial"/>
            <w:sz w:val="10"/>
            <w:szCs w:val="10"/>
            <w:color w:val="auto"/>
          </w:rPr>
          <w:t>37</w:t>
        </w:r>
      </w:hyperlink>
    </w:p>
    <w:p>
      <w:pPr>
        <w:sectPr>
          <w:pgSz w:w="11900" w:h="16838" w:orient="portrait"/>
          <w:cols w:equalWidth="0" w:num="2">
            <w:col w:w="10440" w:space="720"/>
            <w:col w:w="120"/>
          </w:cols>
          <w:pgMar w:left="300" w:top="131" w:right="31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7185025" cy="4327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025" cy="432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Proxy Summary</w:t>
      </w:r>
    </w:p>
    <w:p>
      <w:pPr>
        <w:spacing w:after="0" w:line="90" w:lineRule="exact"/>
        <w:rPr>
          <w:sz w:val="20"/>
          <w:szCs w:val="20"/>
          <w:color w:val="auto"/>
        </w:rPr>
      </w:pPr>
    </w:p>
    <w:p>
      <w:pPr>
        <w:jc w:val="both"/>
        <w:ind w:left="380"/>
        <w:spacing w:after="0" w:line="258" w:lineRule="auto"/>
        <w:rPr>
          <w:sz w:val="20"/>
          <w:szCs w:val="20"/>
          <w:color w:val="auto"/>
        </w:rPr>
      </w:pPr>
      <w:r>
        <w:rPr>
          <w:rFonts w:ascii="Arial" w:cs="Arial" w:eastAsia="Arial" w:hAnsi="Arial"/>
          <w:sz w:val="13"/>
          <w:szCs w:val="13"/>
          <w:color w:val="auto"/>
        </w:rPr>
        <w:t>This summary is included to provide an introduction and overview of the information contained in the proxy statement and may not contain all the information important to you. This is a summary only and does not contain all of the information we have included in the proxy statement. You should refer to the entire proxy statement that follows for more information about Comstock Resources, Inc. ("Comstock" or the "Company", "our", "we", or "us") and the proposals you are being asked to consider.</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2020 Overview and Performance</w:t>
      </w:r>
    </w:p>
    <w:p>
      <w:pPr>
        <w:spacing w:after="0" w:line="80" w:lineRule="exact"/>
        <w:rPr>
          <w:sz w:val="20"/>
          <w:szCs w:val="20"/>
          <w:color w:val="auto"/>
        </w:rPr>
      </w:pPr>
    </w:p>
    <w:p>
      <w:pPr>
        <w:jc w:val="both"/>
        <w:ind w:left="380"/>
        <w:spacing w:after="0" w:line="258" w:lineRule="auto"/>
        <w:rPr>
          <w:sz w:val="20"/>
          <w:szCs w:val="20"/>
          <w:color w:val="auto"/>
        </w:rPr>
      </w:pPr>
      <w:r>
        <w:rPr>
          <w:rFonts w:ascii="Arial" w:cs="Arial" w:eastAsia="Arial" w:hAnsi="Arial"/>
          <w:sz w:val="13"/>
          <w:szCs w:val="13"/>
          <w:color w:val="auto"/>
        </w:rPr>
        <w:t>Our most significant accomplishment in 2020 was our successful navigation of one of the most difficult years for our industry. Oversupply of natural gas brought about by a warm winter and the onset of the COVID-19 pandemic resulted in weak oil and natural gas prices in 2020. Despite realizing $1.80 per Mcf for our natural gas and $32.36 per barrel for our oil, we still were able to generate profitable financial results and we were able to substantially improve our financial liquidity. Other 2020 accomplishments include:</w:t>
      </w:r>
    </w:p>
    <w:p>
      <w:pPr>
        <w:spacing w:after="0" w:line="121" w:lineRule="exact"/>
        <w:rPr>
          <w:sz w:val="20"/>
          <w:szCs w:val="20"/>
          <w:color w:val="auto"/>
        </w:rPr>
      </w:pPr>
    </w:p>
    <w:p>
      <w:pPr>
        <w:ind w:left="800" w:hanging="202"/>
        <w:spacing w:after="0"/>
        <w:tabs>
          <w:tab w:leader="none" w:pos="80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Completing an accretive $207 million equity offering, which allowed us to redeem our Series A Preferred Stock and save $21 million per year due to the elimination of dividend payments;</w:t>
      </w:r>
    </w:p>
    <w:p>
      <w:pPr>
        <w:spacing w:after="0" w:line="159" w:lineRule="exact"/>
        <w:rPr>
          <w:rFonts w:ascii="Arial" w:cs="Arial" w:eastAsia="Arial" w:hAnsi="Arial"/>
          <w:sz w:val="12"/>
          <w:szCs w:val="12"/>
          <w:color w:val="auto"/>
        </w:rPr>
      </w:pPr>
    </w:p>
    <w:p>
      <w:pPr>
        <w:ind w:left="800" w:hanging="202"/>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Completing two successful senior notes offerings totaling $800 million to refinance bank debt, which increased our financial liquidity from $166 million to $930 million;</w:t>
      </w:r>
    </w:p>
    <w:p>
      <w:pPr>
        <w:spacing w:after="0" w:line="147" w:lineRule="exact"/>
        <w:rPr>
          <w:rFonts w:ascii="Arial" w:cs="Arial" w:eastAsia="Arial" w:hAnsi="Arial"/>
          <w:sz w:val="13"/>
          <w:szCs w:val="13"/>
          <w:color w:val="auto"/>
        </w:rPr>
      </w:pPr>
    </w:p>
    <w:p>
      <w:pPr>
        <w:ind w:left="800" w:hanging="202"/>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Improving our industry leading low operating cost structure by reducing total operating costs per Mcfe from $0.69 in 2019 to $0.59 in 2020;</w:t>
      </w:r>
    </w:p>
    <w:p>
      <w:pPr>
        <w:spacing w:after="0" w:line="147" w:lineRule="exact"/>
        <w:rPr>
          <w:rFonts w:ascii="Arial" w:cs="Arial" w:eastAsia="Arial" w:hAnsi="Arial"/>
          <w:sz w:val="13"/>
          <w:szCs w:val="13"/>
          <w:color w:val="auto"/>
        </w:rPr>
      </w:pPr>
    </w:p>
    <w:p>
      <w:pPr>
        <w:ind w:left="800" w:hanging="202"/>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Growing production with a successful drilling program; and</w:t>
      </w:r>
    </w:p>
    <w:p>
      <w:pPr>
        <w:spacing w:after="0" w:line="147" w:lineRule="exact"/>
        <w:rPr>
          <w:rFonts w:ascii="Arial" w:cs="Arial" w:eastAsia="Arial" w:hAnsi="Arial"/>
          <w:sz w:val="13"/>
          <w:szCs w:val="13"/>
          <w:color w:val="auto"/>
        </w:rPr>
      </w:pPr>
    </w:p>
    <w:p>
      <w:pPr>
        <w:ind w:left="800" w:hanging="202"/>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Growing our proved reserve base at a low finding cost of $0.66 per Mcfe.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Proposals for Stockholder Action</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Below is a summary of the proposals on which you are being asked to vote on. Please review the complete information regarding these proposals included in the proxy statement.</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Election of Directors (Proposal 1 – Page 8)</w:t>
      </w:r>
    </w:p>
    <w:p>
      <w:pPr>
        <w:spacing w:after="0" w:line="80" w:lineRule="exact"/>
        <w:rPr>
          <w:sz w:val="20"/>
          <w:szCs w:val="20"/>
          <w:color w:val="auto"/>
        </w:rPr>
      </w:pPr>
    </w:p>
    <w:p>
      <w:pPr>
        <w:jc w:val="both"/>
        <w:ind w:left="380"/>
        <w:spacing w:after="0" w:line="290" w:lineRule="auto"/>
        <w:rPr>
          <w:sz w:val="20"/>
          <w:szCs w:val="20"/>
          <w:color w:val="auto"/>
        </w:rPr>
      </w:pPr>
      <w:r>
        <w:rPr>
          <w:rFonts w:ascii="Arial" w:cs="Arial" w:eastAsia="Arial" w:hAnsi="Arial"/>
          <w:sz w:val="12"/>
          <w:szCs w:val="12"/>
          <w:color w:val="auto"/>
        </w:rPr>
        <w:t>You will find important information about the qualifications and experience of each of the five director nominees that you are being asked to re-elect under Proposal 1 beginning on page 8 of the proxy statement. The corporate governance/nominating committee, in its annual review of director nominees, has determined that our nominees have the skills, experience and qualifications necessary to effectively oversee the management of the Company, and that they have integrity, proven leadership and a commitment to the financial and strategic success of the Company.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Appointment of Independent Registered Public Accountants (Proposal 2 – Page 18)</w:t>
      </w:r>
    </w:p>
    <w:p>
      <w:pPr>
        <w:spacing w:after="0" w:line="80" w:lineRule="exact"/>
        <w:rPr>
          <w:sz w:val="20"/>
          <w:szCs w:val="20"/>
          <w:color w:val="auto"/>
        </w:rPr>
      </w:pPr>
    </w:p>
    <w:p>
      <w:pPr>
        <w:jc w:val="both"/>
        <w:ind w:left="380"/>
        <w:spacing w:after="0" w:line="271" w:lineRule="auto"/>
        <w:rPr>
          <w:sz w:val="20"/>
          <w:szCs w:val="20"/>
          <w:color w:val="auto"/>
        </w:rPr>
      </w:pPr>
      <w:r>
        <w:rPr>
          <w:rFonts w:ascii="Arial" w:cs="Arial" w:eastAsia="Arial" w:hAnsi="Arial"/>
          <w:sz w:val="13"/>
          <w:szCs w:val="13"/>
          <w:color w:val="auto"/>
        </w:rPr>
        <w:t>Ernst &amp; Young LLP has served as our independent registered public accountants since 2003. You are being asked to ratify the appointment by the audit committee of Ernst &amp; Young as our independent registered public accountants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900"/>
          </w:cols>
          <w:pgMar w:left="300" w:top="131" w:right="6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7185025" cy="2132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21329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Recommendations of the Board of Directors Regarding the Proposals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Board of Directors unanimously recommends that you vote:</w:t>
      </w:r>
    </w:p>
    <w:p>
      <w:pPr>
        <w:spacing w:after="0" w:line="72" w:lineRule="exact"/>
        <w:rPr>
          <w:sz w:val="20"/>
          <w:szCs w:val="20"/>
          <w:color w:val="auto"/>
        </w:rPr>
      </w:pPr>
    </w:p>
    <w:p>
      <w:pPr>
        <w:ind w:left="700" w:hanging="318"/>
        <w:spacing w:after="0"/>
        <w:tabs>
          <w:tab w:leader="none" w:pos="700" w:val="left"/>
        </w:tabs>
        <w:numPr>
          <w:ilvl w:val="0"/>
          <w:numId w:val="9"/>
        </w:numPr>
        <w:rPr>
          <w:rFonts w:ascii="Arial" w:cs="Arial" w:eastAsia="Arial" w:hAnsi="Arial"/>
          <w:sz w:val="13"/>
          <w:szCs w:val="13"/>
          <w:color w:val="225CAB"/>
        </w:rPr>
      </w:pPr>
      <w:r>
        <w:rPr>
          <w:rFonts w:ascii="Arial" w:cs="Arial" w:eastAsia="Arial" w:hAnsi="Arial"/>
          <w:sz w:val="13"/>
          <w:szCs w:val="13"/>
          <w:b w:val="1"/>
          <w:bCs w:val="1"/>
          <w:color w:val="225CAB"/>
        </w:rPr>
        <w:t xml:space="preserve">FOR </w:t>
      </w:r>
      <w:r>
        <w:rPr>
          <w:rFonts w:ascii="Arial" w:cs="Arial" w:eastAsia="Arial" w:hAnsi="Arial"/>
          <w:sz w:val="13"/>
          <w:szCs w:val="13"/>
          <w:color w:val="000000"/>
        </w:rPr>
        <w:t>each of the director nominees named in the proxy statement; and</w:t>
      </w:r>
    </w:p>
    <w:p>
      <w:pPr>
        <w:spacing w:after="0" w:line="75" w:lineRule="exact"/>
        <w:rPr>
          <w:rFonts w:ascii="Arial" w:cs="Arial" w:eastAsia="Arial" w:hAnsi="Arial"/>
          <w:sz w:val="13"/>
          <w:szCs w:val="13"/>
          <w:color w:val="225CAB"/>
        </w:rPr>
      </w:pPr>
    </w:p>
    <w:p>
      <w:pPr>
        <w:ind w:left="700" w:hanging="318"/>
        <w:spacing w:after="0"/>
        <w:tabs>
          <w:tab w:leader="none" w:pos="700" w:val="left"/>
        </w:tabs>
        <w:numPr>
          <w:ilvl w:val="0"/>
          <w:numId w:val="9"/>
        </w:numPr>
        <w:rPr>
          <w:rFonts w:ascii="Arial" w:cs="Arial" w:eastAsia="Arial" w:hAnsi="Arial"/>
          <w:sz w:val="13"/>
          <w:szCs w:val="13"/>
          <w:color w:val="225CAB"/>
        </w:rPr>
      </w:pPr>
      <w:r>
        <w:rPr>
          <w:rFonts w:ascii="Arial" w:cs="Arial" w:eastAsia="Arial" w:hAnsi="Arial"/>
          <w:sz w:val="13"/>
          <w:szCs w:val="13"/>
          <w:b w:val="1"/>
          <w:bCs w:val="1"/>
          <w:color w:val="225CAB"/>
        </w:rPr>
        <w:t xml:space="preserve">FOR </w:t>
      </w:r>
      <w:r>
        <w:rPr>
          <w:rFonts w:ascii="Arial" w:cs="Arial" w:eastAsia="Arial" w:hAnsi="Arial"/>
          <w:sz w:val="13"/>
          <w:szCs w:val="13"/>
          <w:color w:val="000000"/>
        </w:rPr>
        <w:t>the ratification of the appointment of Ernst &amp; Young LLP as our independent registered public accountants for 2021.</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Communicating with the Board of Directors</w:t>
      </w:r>
    </w:p>
    <w:p>
      <w:pPr>
        <w:spacing w:after="0" w:line="80" w:lineRule="exact"/>
        <w:rPr>
          <w:sz w:val="20"/>
          <w:szCs w:val="20"/>
          <w:color w:val="auto"/>
        </w:rPr>
      </w:pPr>
    </w:p>
    <w:p>
      <w:pPr>
        <w:jc w:val="both"/>
        <w:ind w:left="380"/>
        <w:spacing w:after="0" w:line="271" w:lineRule="auto"/>
        <w:rPr>
          <w:sz w:val="20"/>
          <w:szCs w:val="20"/>
          <w:color w:val="auto"/>
        </w:rPr>
      </w:pPr>
      <w:r>
        <w:rPr>
          <w:rFonts w:ascii="Arial" w:cs="Arial" w:eastAsia="Arial" w:hAnsi="Arial"/>
          <w:sz w:val="13"/>
          <w:szCs w:val="13"/>
          <w:color w:val="auto"/>
        </w:rPr>
        <w:t>Any interested party can communicate with our Board of Directors, any individual director or groups of directors by sending a letter addressed to the Board of Directors as a whole, to the individual director or to a group of directors, c/o Corporate Secretary, 5300 Town and Country Blvd., Suite 500, Frisco, Texas 75034.</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Governance Documents</w:t>
      </w:r>
    </w:p>
    <w:p>
      <w:pPr>
        <w:spacing w:after="0" w:line="80" w:lineRule="exact"/>
        <w:rPr>
          <w:sz w:val="20"/>
          <w:szCs w:val="20"/>
          <w:color w:val="auto"/>
        </w:rPr>
      </w:pPr>
    </w:p>
    <w:p>
      <w:pPr>
        <w:jc w:val="both"/>
        <w:ind w:left="380"/>
        <w:spacing w:after="0" w:line="290" w:lineRule="auto"/>
        <w:rPr>
          <w:sz w:val="20"/>
          <w:szCs w:val="20"/>
          <w:color w:val="auto"/>
        </w:rPr>
      </w:pPr>
      <w:r>
        <w:rPr>
          <w:rFonts w:ascii="Arial" w:cs="Arial" w:eastAsia="Arial" w:hAnsi="Arial"/>
          <w:sz w:val="12"/>
          <w:szCs w:val="12"/>
          <w:color w:val="auto"/>
        </w:rPr>
        <w:t xml:space="preserve">Governance documents, such as the Corporate Governance Guidelines, the board committee charters, the Code of Ethics for Senior Financial Officers, and the Code of Business Conduct and Ethics, can be found in the "Corporate Governance" section of our website: </w:t>
      </w:r>
      <w:r>
        <w:rPr>
          <w:rFonts w:ascii="Arial" w:cs="Arial" w:eastAsia="Arial" w:hAnsi="Arial"/>
          <w:sz w:val="12"/>
          <w:szCs w:val="12"/>
          <w:i w:val="1"/>
          <w:iCs w:val="1"/>
          <w:color w:val="auto"/>
        </w:rPr>
        <w:t>www.comstockresources.com</w:t>
      </w:r>
      <w:r>
        <w:rPr>
          <w:rFonts w:ascii="Arial" w:cs="Arial" w:eastAsia="Arial" w:hAnsi="Arial"/>
          <w:sz w:val="12"/>
          <w:szCs w:val="12"/>
          <w:color w:val="auto"/>
        </w:rPr>
        <w:t>. Please note that documents and information on our website are not incorporated herein by reference. These documents may also be obtained in print at no cost by writing to the Corporate Secretary, 5300 Town and Country Blvd., Suite 500, Frisco, Texas 75034.</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25CAB"/>
        </w:rPr>
        <w:t>Information about the Electronic Availability of Proxy Materials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Our 2021 Proxy Statement and 2020 Annual Report are available free of charge on our website at: </w:t>
      </w:r>
      <w:r>
        <w:rPr>
          <w:rFonts w:ascii="Arial" w:cs="Arial" w:eastAsia="Arial" w:hAnsi="Arial"/>
          <w:sz w:val="13"/>
          <w:szCs w:val="13"/>
          <w:i w:val="1"/>
          <w:iCs w:val="1"/>
          <w:color w:val="auto"/>
        </w:rPr>
        <w:t>www.comstockresources.com</w:t>
      </w:r>
      <w:r>
        <w:rPr>
          <w:rFonts w:ascii="Arial" w:cs="Arial" w:eastAsia="Arial" w:hAnsi="Arial"/>
          <w:sz w:val="13"/>
          <w:szCs w:val="13"/>
          <w:color w:val="auto"/>
        </w:rPr>
        <w:t>.</w:t>
      </w: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900"/>
          </w:cols>
          <w:pgMar w:left="300" w:top="131" w:right="69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25CAB"/>
        </w:rPr>
        <w:t>COMSTOCK RESOURCES,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25CAB"/>
        </w:rPr>
        <w:t>Proxy Statement for the Annual Meeting of Stockholders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25CAB"/>
        </w:rPr>
        <w:t>to be held June 8, 2021</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accordance with the rules of the SEC, we are furnishing our proxy materials (proxy statement for this Annual Meeting, the proxy card and the 2020 Annual Report to Stockholders) by providing access to these materials on the Internet in lieu of mailing a printed copy of our proxy materials to each stockholder of record or beneficial owner.</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 Notice of Meeting and Internet Availability of Proxy Materials will be mailed to stockholders on or about April 26, 2021. We are providing this notice in lieu of mailing the printed proxy materials to instruct stockholders as to how they may: (1) access and review the proxy materials on the Internet; (2) submit their proxy; and (3) receive printed proxy materials.</w:t>
      </w:r>
    </w:p>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Stockholders may request to receive printed proxy materials by mail or electronically by e-mail on an ongoing basis at no charge by following the instructions in the notice. A request to receive proxy materials in printed form by mail or by e-mail will remain in effect until such time as the submitting stockholder elects to terminate it.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Questions and Answers about the Annual Meeting and Voting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A Notice of Annual Meeting of Stockholders or Notice Regarding the Availability of Proxy Materials has been provided to you because you are a Comstock stockholder and because the Board is soliciting your proxy to vote your shares at the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At the Annual Meeting, our stockholders will act upon the matters outlined in the Notice of Annual Meeting of Stockholders on the cover page of this proxy statement. We will also transact any other business as may properly come before the Annual Meeting or any adjournment thereof.</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and 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will be held at 10:00 a.m., local time, on June 8, 2021 at the Company's headquarters at 5300 Town and Country Blvd., 3rd Floor, in Frisco, Texas.</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We currently intend to hold our Annual Meeting in person. Any change will be announced with a press release and on our website, as well as filing additional proxy materials with the Securities and Exchange Commission.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more information about 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SEC has created an educational website where you can learn more about proxy voting: </w:t>
      </w:r>
      <w:r>
        <w:rPr>
          <w:rFonts w:ascii="Arial" w:cs="Arial" w:eastAsia="Arial" w:hAnsi="Arial"/>
          <w:sz w:val="13"/>
          <w:szCs w:val="13"/>
          <w:i w:val="1"/>
          <w:iCs w:val="1"/>
          <w:color w:val="auto"/>
        </w:rPr>
        <w:t>www.sec.gov/spotlight/proxymatters.shtml.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soliciting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Our Board is soliciting your proxy to vote on all matters scheduled to come before the Annual Meeting of Stockholders, whether or not you attend in person. By completing and returning the proxy card or voting instruction card, or by casting your vote via telephone or the internet, you are authorizing the proxy holders to vote your shares at our Annual Meeting as you have instructed. All costs of the solicitation will be borne by us.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31" w:right="299" w:bottom="1440" w:gutter="0" w:footer="0" w:header="0"/>
        </w:sectPr>
      </w:pPr>
    </w:p>
    <w:bookmarkStart w:id="9" w:name="page10"/>
    <w:bookmarkEnd w:id="9"/>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happens if additional matters are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ind w:left="8"/>
        <w:spacing w:after="0" w:line="271" w:lineRule="auto"/>
        <w:rPr>
          <w:sz w:val="20"/>
          <w:szCs w:val="20"/>
          <w:color w:val="auto"/>
        </w:rPr>
      </w:pPr>
      <w:r>
        <w:rPr>
          <w:rFonts w:ascii="Arial" w:cs="Arial" w:eastAsia="Arial" w:hAnsi="Arial"/>
          <w:sz w:val="13"/>
          <w:szCs w:val="13"/>
          <w:color w:val="auto"/>
        </w:rPr>
        <w:t>If another proposal is properly presented for consideration at the Annual Meeting, the persons named in the Proxy Card will vote as recommended by the Board or, if no recommendation is given, these persons will exercise their discretion in voting on the proposal.</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ind w:left="8"/>
        <w:spacing w:after="0"/>
        <w:rPr>
          <w:sz w:val="20"/>
          <w:szCs w:val="20"/>
          <w:color w:val="auto"/>
        </w:rPr>
      </w:pPr>
      <w:r>
        <w:rPr>
          <w:rFonts w:ascii="Arial" w:cs="Arial" w:eastAsia="Arial" w:hAnsi="Arial"/>
          <w:sz w:val="13"/>
          <w:szCs w:val="13"/>
          <w:color w:val="auto"/>
        </w:rPr>
        <w:t>Owners of shares of common stock of the Company at the close of business on April 7, 2021 (the "Record Date") are entitled to vote at and participate in the Annual Meeting.</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are the voting rights of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Each outstanding share of common stock will be entitled to one vote on each matter to come before the Annual Meeting.</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How can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Shares of common stock can be voted in person at the Annual Meeting or they can be voted by proxy or voting instructions can be given, in one of three ways, by:</w:t>
      </w:r>
    </w:p>
    <w:p>
      <w:pPr>
        <w:spacing w:after="0" w:line="200" w:lineRule="exact"/>
        <w:rPr>
          <w:sz w:val="20"/>
          <w:szCs w:val="20"/>
          <w:color w:val="auto"/>
        </w:rPr>
      </w:pPr>
    </w:p>
    <w:p>
      <w:pPr>
        <w:spacing w:after="0" w:line="218" w:lineRule="exact"/>
        <w:rPr>
          <w:sz w:val="20"/>
          <w:szCs w:val="20"/>
          <w:color w:val="auto"/>
        </w:rPr>
      </w:pPr>
    </w:p>
    <w:p>
      <w:pPr>
        <w:ind w:left="8"/>
        <w:spacing w:after="0" w:line="314" w:lineRule="auto"/>
        <w:rPr>
          <w:sz w:val="20"/>
          <w:szCs w:val="20"/>
          <w:color w:val="auto"/>
        </w:rPr>
      </w:pPr>
      <w:r>
        <w:rPr>
          <w:rFonts w:ascii="Arial" w:cs="Arial" w:eastAsia="Arial" w:hAnsi="Arial"/>
          <w:sz w:val="12"/>
          <w:szCs w:val="12"/>
          <w:color w:val="auto"/>
        </w:rPr>
        <w:t>The instructions for each are on the Proxy Card, in the Notice Regarding the Availability of Proxy Materials, or on the voting form enclosed with the proxy from the bank, broker or other holder of record. If your shares are held by any such person or entity, you may obtain a proxy from that entity and bring it with you to hand in with your ballot in order to be able to vote your shares at the Annual Meeting.</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5"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With regard to </w:t>
      </w:r>
      <w:r>
        <w:rPr>
          <w:rFonts w:ascii="Arial" w:cs="Arial" w:eastAsia="Arial" w:hAnsi="Arial"/>
          <w:sz w:val="13"/>
          <w:szCs w:val="13"/>
          <w:b w:val="1"/>
          <w:bCs w:val="1"/>
          <w:color w:val="auto"/>
        </w:rPr>
        <w:t>Proposal 1</w:t>
      </w:r>
      <w:r>
        <w:rPr>
          <w:rFonts w:ascii="Arial" w:cs="Arial" w:eastAsia="Arial" w:hAnsi="Arial"/>
          <w:sz w:val="13"/>
          <w:szCs w:val="13"/>
          <w:color w:val="auto"/>
        </w:rPr>
        <w:t xml:space="preserve"> (election of directors): the affirmative vote of the majority of the votes cast at the Annual Meeting is required by our Bylaws for the election of a director.</w:t>
      </w:r>
    </w:p>
    <w:p>
      <w:pPr>
        <w:spacing w:after="0" w:line="75" w:lineRule="exact"/>
        <w:rPr>
          <w:rFonts w:ascii="Arial" w:cs="Arial" w:eastAsia="Arial" w:hAnsi="Arial"/>
          <w:sz w:val="13"/>
          <w:szCs w:val="13"/>
          <w:color w:val="auto"/>
        </w:rPr>
      </w:pPr>
    </w:p>
    <w:p>
      <w:pPr>
        <w:ind w:left="208" w:hanging="208"/>
        <w:spacing w:after="0" w:line="277" w:lineRule="auto"/>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With regard to </w:t>
      </w:r>
      <w:r>
        <w:rPr>
          <w:rFonts w:ascii="Arial" w:cs="Arial" w:eastAsia="Arial" w:hAnsi="Arial"/>
          <w:sz w:val="13"/>
          <w:szCs w:val="13"/>
          <w:b w:val="1"/>
          <w:bCs w:val="1"/>
          <w:color w:val="auto"/>
        </w:rPr>
        <w:t>Proposal 2</w:t>
      </w:r>
      <w:r>
        <w:rPr>
          <w:rFonts w:ascii="Arial" w:cs="Arial" w:eastAsia="Arial" w:hAnsi="Arial"/>
          <w:sz w:val="13"/>
          <w:szCs w:val="13"/>
          <w:color w:val="auto"/>
        </w:rPr>
        <w:t xml:space="preserve"> (ratification of our independent registered public accountants): the affirmative vote of a majority of the shares of common stock represented at the Annual Meeting and entitled to vote is required.</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Why is the Board recommending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The Board is recommending approval of each of the director candidates under Proposal 1 for the reasons discussed under the section "Director Nominees." The Board is recommending the ratification of the appointment of our independent registered public accountants under Proposal 2 to confirm the stockholder approval of the appointment.</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 these reasons, our Board has unanimously recommended that our stockholders approve each of the Proposals.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Are the proposals conditioned on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Approval of Proposals 1 and 2 are not conditioned on the approval of the other proposal.</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How will votes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For shares held in your own name, votes will be counted as directed, except when no choice for any particular matter is made. In that case, and only for the matter for which no choice is indicated, the shares will be voted as recommended by the Board. For shares held indirectly through a bank, broker or other holder of record (i.e., in "street name"), unless you give your broker, bank or other holder of record specific instructions, your shares will not be voted on any of the proposals other than Proposal 2.</w:t>
      </w:r>
    </w:p>
    <w:p>
      <w:pPr>
        <w:spacing w:after="0" w:line="103"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Under the NYSE rules that govern voting by brokers of shares held in street name, brokers have the discretion to vote these shares only on routine matters, but not on non-routine matters, as defined by those rules. The only matter</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131" w:right="299" w:bottom="1440" w:gutter="0" w:footer="0" w:header="0"/>
        </w:sectPr>
      </w:pPr>
    </w:p>
    <w:bookmarkStart w:id="10" w:name="page11"/>
    <w:bookmarkEnd w:id="10"/>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that will be voted on that is considered routine under these rules is Proposal 2 (the ratification of the appointment of Ernst &amp; Young LLP to serve as our independent registered public accountants for 2021).</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is a broker non-vote and what is the effect of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A "broker non-vote" occurs when a stockholder who holds shares indirectly does not give instructions to the holder of record on how the stockholder wants his or her shares voted, but the holder of record exercises its discretionary authority under the rules of the NYSE to vote on one or more, but not all, of the proposals. In such a case, a "broker non-vote" occurs with respect to the proposals not voted on. Shares represented by "broker non-votes" will, however, be counted in determining whether a quorum is present.</w:t>
      </w:r>
    </w:p>
    <w:p>
      <w:pPr>
        <w:spacing w:after="0" w:line="94"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3"/>
          <w:szCs w:val="13"/>
          <w:color w:val="auto"/>
        </w:rPr>
        <w:t>In the absence of instructions from the stockholder, the holder of record may only exercise its discretionary authority and vote the shares it holds as a holder of record on Proposal 2 (ratification of the appointment of the Company's independent registered public accountants), and does not have the discretionary authority to vote them on any of the other Proposals.</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Therefore, if you are a "street-name" holder, your shares will not be voted on any Proposal for which you do not give your broker, bank or other holder of record instructions on how to vote other than on Proposal 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3"/>
          <w:szCs w:val="13"/>
          <w:color w:val="auto"/>
        </w:rPr>
        <w:t>Broker non-votes will not affect the voting.</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is an abstention and what is the effect of an abstention?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3"/>
          <w:szCs w:val="13"/>
          <w:color w:val="auto"/>
        </w:rPr>
        <w:t>If you do not desire to vote on any proposal or have your shares voted as provided for in the preceding answer, you may abstain from voting by marking the appropriate space on the Proxy Card or by following the telephone or Internet instructions. Shares voted as abstaining will be counted as present for the purpose of establishing a quorum and for the purpose of determining the number of votes needed for approval of the Proposals before the Annual Meeting.</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3"/>
          <w:szCs w:val="13"/>
          <w:color w:val="auto"/>
        </w:rPr>
        <w:t>Abstentions will have the effect of a negative vote for Proposal 2.</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The presence at the Annual Meeting of the holders of a majority of the shares of the common stock outstanding on the Record Date, in person or by proxy, will constitute a quorum, permitting business to be conducted at the Annual Meeting. As of the Record Date, 232,410,218 shares of common stock were outstanding. Therefore, the presence of the holders of common stock representing at least 116,205,110 votes will be required to establish a quorum.</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What shares will be considered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3"/>
          <w:szCs w:val="13"/>
          <w:color w:val="auto"/>
        </w:rPr>
        <w:t>The shares voted at the Annual Meeting, shares properly voted by Internet or telephone, and shares for which properly signed Proxy Cards have been returned will be counted as "present" for purposes of establishing a quorum. Proxies containing instructions to abstain on one or more matters, those voted on one or more matters and those containing broker non-votes will be included in the calculation of the number of votes considered to be present at the Annual Meeting.</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How can a proxy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You can revoke a proxy at any time prior to a vote at the Annual Meeting by:</w:t>
      </w:r>
    </w:p>
    <w:p>
      <w:pPr>
        <w:spacing w:after="0" w:line="76"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3"/>
          <w:szCs w:val="13"/>
          <w:color w:val="225CAB"/>
        </w:rPr>
      </w:pPr>
      <w:r>
        <w:rPr>
          <w:rFonts w:ascii="Arial" w:cs="Arial" w:eastAsia="Arial" w:hAnsi="Arial"/>
          <w:sz w:val="13"/>
          <w:szCs w:val="13"/>
          <w:color w:val="auto"/>
        </w:rPr>
        <w:t>notifying the Corporate Secretary of the Company in writing;</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1"/>
        </w:numPr>
        <w:rPr>
          <w:rFonts w:ascii="Arial" w:cs="Arial" w:eastAsia="Arial" w:hAnsi="Arial"/>
          <w:sz w:val="13"/>
          <w:szCs w:val="13"/>
          <w:color w:val="225CAB"/>
        </w:rPr>
      </w:pPr>
      <w:r>
        <w:rPr>
          <w:rFonts w:ascii="Arial" w:cs="Arial" w:eastAsia="Arial" w:hAnsi="Arial"/>
          <w:sz w:val="13"/>
          <w:szCs w:val="13"/>
          <w:color w:val="auto"/>
        </w:rPr>
        <w:t>delivering a subsequent proxy; or</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1"/>
        </w:numPr>
        <w:rPr>
          <w:rFonts w:ascii="Arial" w:cs="Arial" w:eastAsia="Arial" w:hAnsi="Arial"/>
          <w:sz w:val="13"/>
          <w:szCs w:val="13"/>
          <w:color w:val="225CAB"/>
        </w:rPr>
      </w:pPr>
      <w:r>
        <w:rPr>
          <w:rFonts w:ascii="Arial" w:cs="Arial" w:eastAsia="Arial" w:hAnsi="Arial"/>
          <w:sz w:val="13"/>
          <w:szCs w:val="13"/>
          <w:color w:val="auto"/>
        </w:rPr>
        <w:t>subsequent vote by Internet or telephone.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Shares held indirectly in the name of a bank, broker or other holder of record may be revoked pursuant to the instructions provided by such person or entity.</w:t>
      </w:r>
    </w:p>
    <w:p>
      <w:pPr>
        <w:spacing w:after="0" w:line="200" w:lineRule="exact"/>
        <w:rPr>
          <w:sz w:val="20"/>
          <w:szCs w:val="20"/>
          <w:color w:val="auto"/>
        </w:rPr>
      </w:pP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8"/>
          </w:cols>
          <w:pgMar w:left="292" w:top="131"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hired a third party, Broadridge Financial Solutions, Inc., to determine whether or not a quorum is present at the Annual Meeting and to tabulate votes cast.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results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voting results will be announced at the Annual Meeting and filed on a Form 8-K with the SEC within four business days of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help answer my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If you have any questions about the Proposals, need additional copies of this proxy statement or the enclosed proxy card, or require assistance in voting your shares, you should contact our Corporate Secretary,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Mr. Roland O. Burns,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Corporate Secretary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Comstock Resources,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5300 Town and Country Blvd.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Suite 500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Frisco, TX 75034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Please call: 972-668-8800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131" w:right="319" w:bottom="1440" w:gutter="0" w:footer="0" w:header="0"/>
        </w:sectPr>
      </w:pPr>
    </w:p>
    <w:bookmarkStart w:id="12" w:name="page13"/>
    <w:bookmarkEnd w:id="12"/>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Voting Securities and Principal Holders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Security Ownership of Certain Beneficial Owners and Management</w:t>
      </w:r>
    </w:p>
    <w:p>
      <w:pPr>
        <w:spacing w:after="0" w:line="80" w:lineRule="exact"/>
        <w:rPr>
          <w:sz w:val="20"/>
          <w:szCs w:val="20"/>
          <w:color w:val="auto"/>
        </w:rPr>
      </w:pPr>
    </w:p>
    <w:p>
      <w:pPr>
        <w:jc w:val="both"/>
        <w:ind w:left="8"/>
        <w:spacing w:after="0" w:line="252" w:lineRule="auto"/>
        <w:rPr>
          <w:sz w:val="20"/>
          <w:szCs w:val="20"/>
          <w:color w:val="auto"/>
        </w:rPr>
      </w:pPr>
      <w:r>
        <w:rPr>
          <w:rFonts w:ascii="Arial" w:cs="Arial" w:eastAsia="Arial" w:hAnsi="Arial"/>
          <w:sz w:val="13"/>
          <w:szCs w:val="13"/>
          <w:color w:val="auto"/>
        </w:rPr>
        <w:t>Ownership of our common stock is shown in terms of "beneficial ownership." Generally, a person "beneficially owns" shares if he or she has either the right to vote those shares or dispose of them. More than one person may be considered to beneficially own the same shares. The percentages shown in this proxy statement reflect the stockholder's beneficially owned shares as a percentage of the total number of shares of our common stock outstanding on April 7, 2021 (232,410,218 shares) plus the number of unissued shares that such owner has the right to acquire on or before April 7, 2021. Except as otherwise indicated, we believe each beneficial owner named below has sole voting and sole dispositive power with respect to all shares beneficially owned. The following table lists the stockholders (other than our directors and executive officers) known to have been the beneficial owners of more than 5% of our common stock as of April 7, 2021:</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240" w:type="dxa"/>
            <w:vAlign w:val="bottom"/>
          </w:tcPr>
          <w:p>
            <w:pPr>
              <w:spacing w:after="0"/>
              <w:rPr>
                <w:sz w:val="11"/>
                <w:szCs w:val="11"/>
                <w:color w:val="auto"/>
              </w:rPr>
            </w:pPr>
          </w:p>
        </w:tc>
        <w:tc>
          <w:tcPr>
            <w:tcW w:w="210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w w:val="86"/>
              </w:rPr>
              <w:t>Shares Beneficially Owned</w:t>
            </w:r>
          </w:p>
        </w:tc>
        <w:tc>
          <w:tcPr>
            <w:tcW w:w="960" w:type="dxa"/>
            <w:vAlign w:val="bottom"/>
            <w:tcBorders>
              <w:bottom w:val="single" w:sz="8" w:color="auto"/>
            </w:tcBorders>
          </w:tcPr>
          <w:p>
            <w:pPr>
              <w:spacing w:after="0"/>
              <w:rPr>
                <w:sz w:val="11"/>
                <w:szCs w:val="11"/>
                <w:color w:val="auto"/>
              </w:rPr>
            </w:pPr>
          </w:p>
        </w:tc>
      </w:tr>
      <w:tr>
        <w:trPr>
          <w:trHeight w:val="138"/>
        </w:trPr>
        <w:tc>
          <w:tcPr>
            <w:tcW w:w="8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of Beneficial Owner</w:t>
            </w:r>
          </w:p>
        </w:tc>
        <w:tc>
          <w:tcPr>
            <w:tcW w:w="2100" w:type="dxa"/>
            <w:vAlign w:val="bottom"/>
            <w:tcBorders>
              <w:bottom w:val="single" w:sz="8" w:color="auto"/>
            </w:tcBorders>
          </w:tcPr>
          <w:p>
            <w:pPr>
              <w:jc w:val="center"/>
              <w:ind w:right="552"/>
              <w:spacing w:after="0"/>
              <w:rPr>
                <w:sz w:val="20"/>
                <w:szCs w:val="20"/>
                <w:color w:val="auto"/>
              </w:rPr>
            </w:pPr>
            <w:r>
              <w:rPr>
                <w:rFonts w:ascii="Arial" w:cs="Arial" w:eastAsia="Arial" w:hAnsi="Arial"/>
                <w:sz w:val="10"/>
                <w:szCs w:val="10"/>
                <w:b w:val="1"/>
                <w:bCs w:val="1"/>
                <w:color w:val="auto"/>
                <w:w w:val="89"/>
              </w:rPr>
              <w:t>Number</w:t>
            </w: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Percent</w:t>
            </w:r>
          </w:p>
        </w:tc>
      </w:tr>
      <w:tr>
        <w:trPr>
          <w:trHeight w:val="107"/>
        </w:trPr>
        <w:tc>
          <w:tcPr>
            <w:tcW w:w="8240" w:type="dxa"/>
            <w:vAlign w:val="bottom"/>
          </w:tcPr>
          <w:p>
            <w:pPr>
              <w:spacing w:after="0" w:line="107" w:lineRule="exact"/>
              <w:rPr>
                <w:sz w:val="20"/>
                <w:szCs w:val="20"/>
                <w:color w:val="auto"/>
              </w:rPr>
            </w:pPr>
            <w:r>
              <w:rPr>
                <w:rFonts w:ascii="Arial" w:cs="Arial" w:eastAsia="Arial" w:hAnsi="Arial"/>
                <w:sz w:val="10"/>
                <w:szCs w:val="10"/>
                <w:color w:val="auto"/>
              </w:rPr>
              <w:t>Arkoma Drilling, L.P.</w:t>
            </w:r>
          </w:p>
        </w:tc>
        <w:tc>
          <w:tcPr>
            <w:tcW w:w="21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8"/>
        </w:trPr>
        <w:tc>
          <w:tcPr>
            <w:tcW w:w="8240" w:type="dxa"/>
            <w:vAlign w:val="bottom"/>
          </w:tcPr>
          <w:p>
            <w:pPr>
              <w:spacing w:after="0" w:line="108" w:lineRule="exact"/>
              <w:rPr>
                <w:sz w:val="20"/>
                <w:szCs w:val="20"/>
                <w:color w:val="auto"/>
              </w:rPr>
            </w:pPr>
            <w:r>
              <w:rPr>
                <w:rFonts w:ascii="Arial" w:cs="Arial" w:eastAsia="Arial" w:hAnsi="Arial"/>
                <w:sz w:val="10"/>
                <w:szCs w:val="10"/>
                <w:color w:val="auto"/>
              </w:rPr>
              <w:t>Williston Drilling, L.P.</w:t>
            </w:r>
          </w:p>
        </w:tc>
        <w:tc>
          <w:tcPr>
            <w:tcW w:w="21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47"/>
        </w:trPr>
        <w:tc>
          <w:tcPr>
            <w:tcW w:w="8240" w:type="dxa"/>
            <w:vAlign w:val="bottom"/>
          </w:tcPr>
          <w:p>
            <w:pPr>
              <w:ind w:left="80"/>
              <w:spacing w:after="0"/>
              <w:rPr>
                <w:sz w:val="20"/>
                <w:szCs w:val="20"/>
                <w:color w:val="auto"/>
              </w:rPr>
            </w:pPr>
            <w:r>
              <w:rPr>
                <w:rFonts w:ascii="Arial" w:cs="Arial" w:eastAsia="Arial" w:hAnsi="Arial"/>
                <w:sz w:val="10"/>
                <w:szCs w:val="10"/>
                <w:color w:val="auto"/>
              </w:rPr>
              <w:t>One Cowboy Way, Frisco, Texas 75034</w:t>
            </w:r>
          </w:p>
        </w:tc>
        <w:tc>
          <w:tcPr>
            <w:tcW w:w="2100" w:type="dxa"/>
            <w:vAlign w:val="bottom"/>
          </w:tcPr>
          <w:p>
            <w:pPr>
              <w:jc w:val="center"/>
              <w:ind w:right="552"/>
              <w:spacing w:after="0"/>
              <w:rPr>
                <w:sz w:val="20"/>
                <w:szCs w:val="20"/>
                <w:color w:val="auto"/>
              </w:rPr>
            </w:pPr>
            <w:r>
              <w:rPr>
                <w:rFonts w:ascii="Arial" w:cs="Arial" w:eastAsia="Arial" w:hAnsi="Arial"/>
                <w:sz w:val="10"/>
                <w:szCs w:val="10"/>
                <w:color w:val="auto"/>
                <w:w w:val="85"/>
              </w:rPr>
              <w:t xml:space="preserve">182,321,429 </w:t>
            </w:r>
            <w:r>
              <w:rPr>
                <w:rFonts w:ascii="Arial" w:cs="Arial" w:eastAsia="Arial" w:hAnsi="Arial"/>
                <w:sz w:val="12"/>
                <w:szCs w:val="12"/>
                <w:color w:val="auto"/>
                <w:w w:val="85"/>
                <w:vertAlign w:val="superscript"/>
              </w:rPr>
              <w:t>(1)</w:t>
            </w:r>
          </w:p>
        </w:tc>
        <w:tc>
          <w:tcPr>
            <w:tcW w:w="960" w:type="dxa"/>
            <w:vAlign w:val="bottom"/>
          </w:tcPr>
          <w:p>
            <w:pPr>
              <w:jc w:val="right"/>
              <w:ind w:right="592"/>
              <w:spacing w:after="0"/>
              <w:rPr>
                <w:sz w:val="20"/>
                <w:szCs w:val="20"/>
                <w:color w:val="auto"/>
              </w:rPr>
            </w:pPr>
            <w:r>
              <w:rPr>
                <w:rFonts w:ascii="Arial" w:cs="Arial" w:eastAsia="Arial" w:hAnsi="Arial"/>
                <w:sz w:val="10"/>
                <w:szCs w:val="10"/>
                <w:color w:val="auto"/>
              </w:rPr>
              <w:t>66.0%</w:t>
            </w:r>
          </w:p>
        </w:tc>
      </w:tr>
      <w:tr>
        <w:trPr>
          <w:trHeight w:val="111"/>
        </w:trPr>
        <w:tc>
          <w:tcPr>
            <w:tcW w:w="8240" w:type="dxa"/>
            <w:vAlign w:val="bottom"/>
            <w:shd w:val="clear" w:color="auto" w:fill="DDE6F2"/>
          </w:tcPr>
          <w:p>
            <w:pPr>
              <w:spacing w:after="0" w:line="112" w:lineRule="exact"/>
              <w:rPr>
                <w:sz w:val="20"/>
                <w:szCs w:val="20"/>
                <w:color w:val="auto"/>
              </w:rPr>
            </w:pPr>
            <w:r>
              <w:rPr>
                <w:rFonts w:ascii="Arial" w:cs="Arial" w:eastAsia="Arial" w:hAnsi="Arial"/>
                <w:sz w:val="10"/>
                <w:szCs w:val="10"/>
                <w:color w:val="auto"/>
              </w:rPr>
              <w:t>Covey Park Holdings LLC</w:t>
            </w:r>
          </w:p>
        </w:tc>
        <w:tc>
          <w:tcPr>
            <w:tcW w:w="2100" w:type="dxa"/>
            <w:vAlign w:val="bottom"/>
            <w:shd w:val="clear" w:color="auto" w:fill="DDE6F2"/>
          </w:tcPr>
          <w:p>
            <w:pPr>
              <w:spacing w:after="0"/>
              <w:rPr>
                <w:sz w:val="9"/>
                <w:szCs w:val="9"/>
                <w:color w:val="auto"/>
              </w:rPr>
            </w:pPr>
          </w:p>
        </w:tc>
        <w:tc>
          <w:tcPr>
            <w:tcW w:w="960" w:type="dxa"/>
            <w:vAlign w:val="bottom"/>
            <w:shd w:val="clear" w:color="auto" w:fill="DDE6F2"/>
          </w:tcPr>
          <w:p>
            <w:pPr>
              <w:spacing w:after="0"/>
              <w:rPr>
                <w:sz w:val="9"/>
                <w:szCs w:val="9"/>
                <w:color w:val="auto"/>
              </w:rPr>
            </w:pPr>
          </w:p>
        </w:tc>
      </w:tr>
      <w:tr>
        <w:trPr>
          <w:trHeight w:val="150"/>
        </w:trPr>
        <w:tc>
          <w:tcPr>
            <w:tcW w:w="8240" w:type="dxa"/>
            <w:vAlign w:val="bottom"/>
            <w:shd w:val="clear" w:color="auto" w:fill="DDE6F2"/>
          </w:tcPr>
          <w:p>
            <w:pPr>
              <w:ind w:left="80"/>
              <w:spacing w:after="0"/>
              <w:rPr>
                <w:sz w:val="20"/>
                <w:szCs w:val="20"/>
                <w:color w:val="auto"/>
              </w:rPr>
            </w:pPr>
            <w:r>
              <w:rPr>
                <w:rFonts w:ascii="Arial" w:cs="Arial" w:eastAsia="Arial" w:hAnsi="Arial"/>
                <w:sz w:val="10"/>
                <w:szCs w:val="10"/>
                <w:color w:val="auto"/>
              </w:rPr>
              <w:t>185 Dartmouth Street, 7</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Floor, Boston, Massachusetts 02116</w:t>
            </w:r>
          </w:p>
        </w:tc>
        <w:tc>
          <w:tcPr>
            <w:tcW w:w="2100" w:type="dxa"/>
            <w:vAlign w:val="bottom"/>
            <w:shd w:val="clear" w:color="auto" w:fill="DDE6F2"/>
          </w:tcPr>
          <w:p>
            <w:pPr>
              <w:jc w:val="center"/>
              <w:ind w:right="512"/>
              <w:spacing w:after="0"/>
              <w:rPr>
                <w:sz w:val="20"/>
                <w:szCs w:val="20"/>
                <w:color w:val="auto"/>
              </w:rPr>
            </w:pPr>
            <w:r>
              <w:rPr>
                <w:rFonts w:ascii="Arial" w:cs="Arial" w:eastAsia="Arial" w:hAnsi="Arial"/>
                <w:sz w:val="10"/>
                <w:szCs w:val="10"/>
                <w:color w:val="auto"/>
                <w:w w:val="86"/>
              </w:rPr>
              <w:t xml:space="preserve">19,013,186 </w:t>
            </w:r>
            <w:r>
              <w:rPr>
                <w:rFonts w:ascii="Arial" w:cs="Arial" w:eastAsia="Arial" w:hAnsi="Arial"/>
                <w:sz w:val="12"/>
                <w:szCs w:val="12"/>
                <w:color w:val="auto"/>
                <w:w w:val="86"/>
                <w:vertAlign w:val="superscript"/>
              </w:rPr>
              <w:t>(2)</w:t>
            </w:r>
          </w:p>
        </w:tc>
        <w:tc>
          <w:tcPr>
            <w:tcW w:w="960" w:type="dxa"/>
            <w:vAlign w:val="bottom"/>
            <w:shd w:val="clear" w:color="auto" w:fill="DDE6F2"/>
          </w:tcPr>
          <w:p>
            <w:pPr>
              <w:jc w:val="right"/>
              <w:ind w:right="632"/>
              <w:spacing w:after="0"/>
              <w:rPr>
                <w:sz w:val="20"/>
                <w:szCs w:val="20"/>
                <w:color w:val="auto"/>
              </w:rPr>
            </w:pPr>
            <w:r>
              <w:rPr>
                <w:rFonts w:ascii="Arial" w:cs="Arial" w:eastAsia="Arial" w:hAnsi="Arial"/>
                <w:sz w:val="10"/>
                <w:szCs w:val="10"/>
                <w:color w:val="auto"/>
              </w:rPr>
              <w:t>8.2%</w:t>
            </w:r>
          </w:p>
        </w:tc>
      </w:tr>
    </w:tbl>
    <w:p>
      <w:pPr>
        <w:spacing w:after="0" w:line="72"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8"/>
          <w:szCs w:val="8"/>
          <w:i w:val="1"/>
          <w:iCs w:val="1"/>
          <w:color w:val="auto"/>
        </w:rPr>
      </w:pPr>
      <w:r>
        <w:rPr>
          <w:rFonts w:ascii="Arial" w:cs="Arial" w:eastAsia="Arial" w:hAnsi="Arial"/>
          <w:sz w:val="8"/>
          <w:szCs w:val="8"/>
          <w:i w:val="1"/>
          <w:iCs w:val="1"/>
          <w:color w:val="auto"/>
        </w:rPr>
        <w:t>Blue Star Exploration Company is the sole general partner of each of Arkoma Drilling, L.P. and Williston Drilling, L.P. Jerral W. Jones is a director and sole shareholder of Blue Star Exploration Company. Includes 43,750,000 shares issuable upon conversion of the Series B Convertible Preferred Stock.</w:t>
      </w:r>
    </w:p>
    <w:p>
      <w:pPr>
        <w:spacing w:after="0" w:line="34" w:lineRule="exact"/>
        <w:rPr>
          <w:rFonts w:ascii="Arial" w:cs="Arial" w:eastAsia="Arial" w:hAnsi="Arial"/>
          <w:sz w:val="8"/>
          <w:szCs w:val="8"/>
          <w:i w:val="1"/>
          <w:iCs w:val="1"/>
          <w:color w:val="auto"/>
        </w:rPr>
      </w:pPr>
    </w:p>
    <w:p>
      <w:pPr>
        <w:ind w:left="208" w:hanging="208"/>
        <w:spacing w:after="0"/>
        <w:tabs>
          <w:tab w:leader="none" w:pos="208" w:val="left"/>
        </w:tabs>
        <w:numPr>
          <w:ilvl w:val="0"/>
          <w:numId w:val="12"/>
        </w:numPr>
        <w:rPr>
          <w:rFonts w:ascii="Arial" w:cs="Arial" w:eastAsia="Arial" w:hAnsi="Arial"/>
          <w:sz w:val="8"/>
          <w:szCs w:val="8"/>
          <w:i w:val="1"/>
          <w:iCs w:val="1"/>
          <w:color w:val="auto"/>
        </w:rPr>
      </w:pPr>
      <w:r>
        <w:rPr>
          <w:rFonts w:ascii="Arial" w:cs="Arial" w:eastAsia="Arial" w:hAnsi="Arial"/>
          <w:sz w:val="8"/>
          <w:szCs w:val="8"/>
          <w:i w:val="1"/>
          <w:iCs w:val="1"/>
          <w:color w:val="auto"/>
        </w:rPr>
        <w:t>Beneficial share number obtained from Schedule 13-D/A filed with the Securities Exchange Commission on August 28, 2020.</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information as of April 7, 2021 concerning beneficial ownership information for our directors, nominees for director and executive officers: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9"/>
        </w:trPr>
        <w:tc>
          <w:tcPr>
            <w:tcW w:w="82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b w:val="1"/>
                <w:bCs w:val="1"/>
                <w:color w:val="auto"/>
                <w:w w:val="86"/>
              </w:rPr>
              <w:t>Shares Beneficially Owned</w:t>
            </w:r>
          </w:p>
        </w:tc>
      </w:tr>
      <w:tr>
        <w:trPr>
          <w:trHeight w:val="136"/>
        </w:trPr>
        <w:tc>
          <w:tcPr>
            <w:tcW w:w="8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of Beneficial Owner</w:t>
            </w:r>
            <w:r>
              <w:rPr>
                <w:rFonts w:ascii="Arial" w:cs="Arial" w:eastAsia="Arial" w:hAnsi="Arial"/>
                <w:sz w:val="5"/>
                <w:szCs w:val="5"/>
                <w:b w:val="1"/>
                <w:bCs w:val="1"/>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Number</w:t>
            </w:r>
          </w:p>
        </w:tc>
        <w:tc>
          <w:tcPr>
            <w:tcW w:w="210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Percent</w:t>
            </w:r>
          </w:p>
        </w:tc>
      </w:tr>
      <w:tr>
        <w:trPr>
          <w:trHeight w:val="111"/>
        </w:trPr>
        <w:tc>
          <w:tcPr>
            <w:tcW w:w="8240" w:type="dxa"/>
            <w:vAlign w:val="bottom"/>
          </w:tcPr>
          <w:p>
            <w:pPr>
              <w:spacing w:after="0" w:line="111" w:lineRule="exact"/>
              <w:rPr>
                <w:sz w:val="20"/>
                <w:szCs w:val="20"/>
                <w:color w:val="auto"/>
              </w:rPr>
            </w:pPr>
            <w:r>
              <w:rPr>
                <w:rFonts w:ascii="Arial" w:cs="Arial" w:eastAsia="Arial" w:hAnsi="Arial"/>
                <w:sz w:val="10"/>
                <w:szCs w:val="10"/>
                <w:color w:val="auto"/>
              </w:rPr>
              <w:t>M. Jay Allison</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43"/>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Chairman of the Board of Directors and Chief Executive Officer</w:t>
            </w:r>
          </w:p>
        </w:tc>
        <w:tc>
          <w:tcPr>
            <w:tcW w:w="960" w:type="dxa"/>
            <w:vAlign w:val="bottom"/>
          </w:tcPr>
          <w:p>
            <w:pPr>
              <w:jc w:val="right"/>
              <w:spacing w:after="0"/>
              <w:rPr>
                <w:sz w:val="20"/>
                <w:szCs w:val="20"/>
                <w:color w:val="auto"/>
              </w:rPr>
            </w:pPr>
            <w:r>
              <w:rPr>
                <w:rFonts w:ascii="Arial" w:cs="Arial" w:eastAsia="Arial" w:hAnsi="Arial"/>
                <w:sz w:val="10"/>
                <w:szCs w:val="10"/>
                <w:color w:val="auto"/>
              </w:rPr>
              <w:t>1,278,486</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DE6F2"/>
          </w:tcPr>
          <w:p>
            <w:pPr>
              <w:spacing w:after="0"/>
              <w:rPr>
                <w:sz w:val="20"/>
                <w:szCs w:val="20"/>
                <w:color w:val="auto"/>
              </w:rPr>
            </w:pPr>
            <w:r>
              <w:rPr>
                <w:rFonts w:ascii="Arial" w:cs="Arial" w:eastAsia="Arial" w:hAnsi="Arial"/>
                <w:sz w:val="10"/>
                <w:szCs w:val="10"/>
                <w:color w:val="auto"/>
              </w:rPr>
              <w:t>Roland O. Burns</w:t>
            </w:r>
          </w:p>
        </w:tc>
        <w:tc>
          <w:tcPr>
            <w:tcW w:w="960" w:type="dxa"/>
            <w:vAlign w:val="bottom"/>
            <w:shd w:val="clear" w:color="auto" w:fill="DDE6F2"/>
          </w:tcPr>
          <w:p>
            <w:pPr>
              <w:spacing w:after="0"/>
              <w:rPr>
                <w:sz w:val="10"/>
                <w:szCs w:val="10"/>
                <w:color w:val="auto"/>
              </w:rPr>
            </w:pPr>
          </w:p>
        </w:tc>
        <w:tc>
          <w:tcPr>
            <w:tcW w:w="2100" w:type="dxa"/>
            <w:vAlign w:val="bottom"/>
            <w:shd w:val="clear" w:color="auto" w:fill="DDE6F2"/>
          </w:tcPr>
          <w:p>
            <w:pPr>
              <w:spacing w:after="0"/>
              <w:rPr>
                <w:sz w:val="10"/>
                <w:szCs w:val="10"/>
                <w:color w:val="auto"/>
              </w:rPr>
            </w:pPr>
          </w:p>
        </w:tc>
      </w:tr>
      <w:tr>
        <w:trPr>
          <w:trHeight w:val="147"/>
        </w:trPr>
        <w:tc>
          <w:tcPr>
            <w:tcW w:w="8240" w:type="dxa"/>
            <w:vAlign w:val="bottom"/>
            <w:shd w:val="clear" w:color="auto" w:fill="DDE6F2"/>
          </w:tcPr>
          <w:p>
            <w:pPr>
              <w:ind w:left="140"/>
              <w:spacing w:after="0"/>
              <w:rPr>
                <w:sz w:val="20"/>
                <w:szCs w:val="20"/>
                <w:color w:val="auto"/>
              </w:rPr>
            </w:pPr>
            <w:r>
              <w:rPr>
                <w:rFonts w:ascii="Arial" w:cs="Arial" w:eastAsia="Arial" w:hAnsi="Arial"/>
                <w:sz w:val="10"/>
                <w:szCs w:val="10"/>
                <w:i w:val="1"/>
                <w:iCs w:val="1"/>
                <w:color w:val="auto"/>
              </w:rPr>
              <w:t>Director, President, Chief Financial Officer and Secretary</w:t>
            </w:r>
          </w:p>
        </w:tc>
        <w:tc>
          <w:tcPr>
            <w:tcW w:w="960" w:type="dxa"/>
            <w:vAlign w:val="bottom"/>
            <w:shd w:val="clear" w:color="auto" w:fill="DDE6F2"/>
          </w:tcPr>
          <w:p>
            <w:pPr>
              <w:jc w:val="right"/>
              <w:spacing w:after="0"/>
              <w:rPr>
                <w:sz w:val="20"/>
                <w:szCs w:val="20"/>
                <w:color w:val="auto"/>
              </w:rPr>
            </w:pPr>
            <w:r>
              <w:rPr>
                <w:rFonts w:ascii="Arial" w:cs="Arial" w:eastAsia="Arial" w:hAnsi="Arial"/>
                <w:sz w:val="10"/>
                <w:szCs w:val="10"/>
                <w:color w:val="auto"/>
              </w:rPr>
              <w:t>730,780</w:t>
            </w:r>
          </w:p>
        </w:tc>
        <w:tc>
          <w:tcPr>
            <w:tcW w:w="2100" w:type="dxa"/>
            <w:vAlign w:val="bottom"/>
            <w:shd w:val="clear" w:color="auto" w:fill="DDE6F2"/>
          </w:tcPr>
          <w:p>
            <w:pPr>
              <w:jc w:val="right"/>
              <w:ind w:right="692"/>
              <w:spacing w:after="0"/>
              <w:rPr>
                <w:sz w:val="20"/>
                <w:szCs w:val="20"/>
                <w:color w:val="auto"/>
              </w:rPr>
            </w:pPr>
            <w:r>
              <w:rPr>
                <w:rFonts w:ascii="Arial" w:cs="Arial" w:eastAsia="Arial" w:hAnsi="Arial"/>
                <w:sz w:val="10"/>
                <w:szCs w:val="10"/>
                <w:color w:val="auto"/>
              </w:rPr>
              <w:t>*</w:t>
            </w:r>
          </w:p>
        </w:tc>
      </w:tr>
      <w:tr>
        <w:trPr>
          <w:trHeight w:val="114"/>
        </w:trPr>
        <w:tc>
          <w:tcPr>
            <w:tcW w:w="8240" w:type="dxa"/>
            <w:vAlign w:val="bottom"/>
          </w:tcPr>
          <w:p>
            <w:pPr>
              <w:spacing w:after="0" w:line="114" w:lineRule="exact"/>
              <w:rPr>
                <w:sz w:val="20"/>
                <w:szCs w:val="20"/>
                <w:color w:val="auto"/>
              </w:rPr>
            </w:pPr>
            <w:r>
              <w:rPr>
                <w:rFonts w:ascii="Arial" w:cs="Arial" w:eastAsia="Arial" w:hAnsi="Arial"/>
                <w:sz w:val="10"/>
                <w:szCs w:val="10"/>
                <w:color w:val="auto"/>
              </w:rPr>
              <w:t>Elizabeth B. Davis, PhD</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43"/>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Director</w:t>
            </w:r>
          </w:p>
        </w:tc>
        <w:tc>
          <w:tcPr>
            <w:tcW w:w="960" w:type="dxa"/>
            <w:vAlign w:val="bottom"/>
          </w:tcPr>
          <w:p>
            <w:pPr>
              <w:jc w:val="right"/>
              <w:spacing w:after="0"/>
              <w:rPr>
                <w:sz w:val="20"/>
                <w:szCs w:val="20"/>
                <w:color w:val="auto"/>
              </w:rPr>
            </w:pPr>
            <w:r>
              <w:rPr>
                <w:rFonts w:ascii="Arial" w:cs="Arial" w:eastAsia="Arial" w:hAnsi="Arial"/>
                <w:sz w:val="10"/>
                <w:szCs w:val="10"/>
                <w:color w:val="auto"/>
              </w:rPr>
              <w:t>93,432</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DE6F2"/>
          </w:tcPr>
          <w:p>
            <w:pPr>
              <w:spacing w:after="0"/>
              <w:rPr>
                <w:sz w:val="20"/>
                <w:szCs w:val="20"/>
                <w:color w:val="auto"/>
              </w:rPr>
            </w:pPr>
            <w:r>
              <w:rPr>
                <w:rFonts w:ascii="Arial" w:cs="Arial" w:eastAsia="Arial" w:hAnsi="Arial"/>
                <w:sz w:val="10"/>
                <w:szCs w:val="10"/>
                <w:color w:val="auto"/>
              </w:rPr>
              <w:t>Morris E. Foster</w:t>
            </w:r>
          </w:p>
        </w:tc>
        <w:tc>
          <w:tcPr>
            <w:tcW w:w="960" w:type="dxa"/>
            <w:vAlign w:val="bottom"/>
            <w:shd w:val="clear" w:color="auto" w:fill="DDE6F2"/>
          </w:tcPr>
          <w:p>
            <w:pPr>
              <w:spacing w:after="0"/>
              <w:rPr>
                <w:sz w:val="10"/>
                <w:szCs w:val="10"/>
                <w:color w:val="auto"/>
              </w:rPr>
            </w:pPr>
          </w:p>
        </w:tc>
        <w:tc>
          <w:tcPr>
            <w:tcW w:w="2100" w:type="dxa"/>
            <w:vAlign w:val="bottom"/>
            <w:shd w:val="clear" w:color="auto" w:fill="DDE6F2"/>
          </w:tcPr>
          <w:p>
            <w:pPr>
              <w:spacing w:after="0"/>
              <w:rPr>
                <w:sz w:val="10"/>
                <w:szCs w:val="10"/>
                <w:color w:val="auto"/>
              </w:rPr>
            </w:pPr>
          </w:p>
        </w:tc>
      </w:tr>
      <w:tr>
        <w:trPr>
          <w:trHeight w:val="138"/>
        </w:trPr>
        <w:tc>
          <w:tcPr>
            <w:tcW w:w="8240" w:type="dxa"/>
            <w:vAlign w:val="bottom"/>
            <w:shd w:val="clear" w:color="auto" w:fill="DDE6F2"/>
          </w:tcPr>
          <w:p>
            <w:pPr>
              <w:ind w:left="140"/>
              <w:spacing w:after="0"/>
              <w:rPr>
                <w:sz w:val="20"/>
                <w:szCs w:val="20"/>
                <w:color w:val="auto"/>
              </w:rPr>
            </w:pPr>
            <w:r>
              <w:rPr>
                <w:rFonts w:ascii="Arial" w:cs="Arial" w:eastAsia="Arial" w:hAnsi="Arial"/>
                <w:sz w:val="10"/>
                <w:szCs w:val="10"/>
                <w:i w:val="1"/>
                <w:iCs w:val="1"/>
                <w:color w:val="auto"/>
              </w:rPr>
              <w:t>Director</w:t>
            </w:r>
          </w:p>
        </w:tc>
        <w:tc>
          <w:tcPr>
            <w:tcW w:w="960" w:type="dxa"/>
            <w:vAlign w:val="bottom"/>
            <w:shd w:val="clear" w:color="auto" w:fill="DDE6F2"/>
          </w:tcPr>
          <w:p>
            <w:pPr>
              <w:jc w:val="right"/>
              <w:spacing w:after="0"/>
              <w:rPr>
                <w:sz w:val="20"/>
                <w:szCs w:val="20"/>
                <w:color w:val="auto"/>
              </w:rPr>
            </w:pPr>
            <w:r>
              <w:rPr>
                <w:rFonts w:ascii="Arial" w:cs="Arial" w:eastAsia="Arial" w:hAnsi="Arial"/>
                <w:sz w:val="10"/>
                <w:szCs w:val="10"/>
                <w:color w:val="auto"/>
              </w:rPr>
              <w:t>98,033</w:t>
            </w:r>
          </w:p>
        </w:tc>
        <w:tc>
          <w:tcPr>
            <w:tcW w:w="2100" w:type="dxa"/>
            <w:vAlign w:val="bottom"/>
            <w:shd w:val="clear" w:color="auto" w:fill="DDE6F2"/>
          </w:tcPr>
          <w:p>
            <w:pPr>
              <w:jc w:val="right"/>
              <w:ind w:right="692"/>
              <w:spacing w:after="0"/>
              <w:rPr>
                <w:sz w:val="20"/>
                <w:szCs w:val="20"/>
                <w:color w:val="auto"/>
              </w:rPr>
            </w:pPr>
            <w:r>
              <w:rPr>
                <w:rFonts w:ascii="Arial" w:cs="Arial" w:eastAsia="Arial" w:hAnsi="Arial"/>
                <w:sz w:val="10"/>
                <w:szCs w:val="10"/>
                <w:color w:val="auto"/>
              </w:rPr>
              <w:t>*</w:t>
            </w:r>
          </w:p>
        </w:tc>
      </w:tr>
      <w:tr>
        <w:trPr>
          <w:trHeight w:val="114"/>
        </w:trPr>
        <w:tc>
          <w:tcPr>
            <w:tcW w:w="8240" w:type="dxa"/>
            <w:vAlign w:val="bottom"/>
          </w:tcPr>
          <w:p>
            <w:pPr>
              <w:spacing w:after="0" w:line="114" w:lineRule="exact"/>
              <w:rPr>
                <w:sz w:val="20"/>
                <w:szCs w:val="20"/>
                <w:color w:val="auto"/>
              </w:rPr>
            </w:pPr>
            <w:r>
              <w:rPr>
                <w:rFonts w:ascii="Arial" w:cs="Arial" w:eastAsia="Arial" w:hAnsi="Arial"/>
                <w:sz w:val="10"/>
                <w:szCs w:val="10"/>
                <w:color w:val="auto"/>
              </w:rPr>
              <w:t>Daniel S. Harrison</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34"/>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Chief Operating Officer</w:t>
            </w:r>
          </w:p>
        </w:tc>
        <w:tc>
          <w:tcPr>
            <w:tcW w:w="960" w:type="dxa"/>
            <w:vAlign w:val="bottom"/>
          </w:tcPr>
          <w:p>
            <w:pPr>
              <w:jc w:val="right"/>
              <w:spacing w:after="0"/>
              <w:rPr>
                <w:sz w:val="20"/>
                <w:szCs w:val="20"/>
                <w:color w:val="auto"/>
              </w:rPr>
            </w:pPr>
            <w:r>
              <w:rPr>
                <w:rFonts w:ascii="Arial" w:cs="Arial" w:eastAsia="Arial" w:hAnsi="Arial"/>
                <w:sz w:val="10"/>
                <w:szCs w:val="10"/>
                <w:color w:val="auto"/>
              </w:rPr>
              <w:t>282,605</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BE5F1"/>
          </w:tcPr>
          <w:p>
            <w:pPr>
              <w:spacing w:after="0"/>
              <w:rPr>
                <w:sz w:val="20"/>
                <w:szCs w:val="20"/>
                <w:color w:val="auto"/>
              </w:rPr>
            </w:pPr>
            <w:r>
              <w:rPr>
                <w:rFonts w:ascii="Arial" w:cs="Arial" w:eastAsia="Arial" w:hAnsi="Arial"/>
                <w:sz w:val="10"/>
                <w:szCs w:val="10"/>
                <w:color w:val="auto"/>
              </w:rPr>
              <w:t>Patrick H. McGough</w:t>
            </w:r>
          </w:p>
        </w:tc>
        <w:tc>
          <w:tcPr>
            <w:tcW w:w="960" w:type="dxa"/>
            <w:vAlign w:val="bottom"/>
            <w:shd w:val="clear" w:color="auto" w:fill="DBE5F1"/>
          </w:tcPr>
          <w:p>
            <w:pPr>
              <w:spacing w:after="0"/>
              <w:rPr>
                <w:sz w:val="10"/>
                <w:szCs w:val="10"/>
                <w:color w:val="auto"/>
              </w:rPr>
            </w:pPr>
          </w:p>
        </w:tc>
        <w:tc>
          <w:tcPr>
            <w:tcW w:w="2100" w:type="dxa"/>
            <w:vAlign w:val="bottom"/>
            <w:shd w:val="clear" w:color="auto" w:fill="DBE5F1"/>
          </w:tcPr>
          <w:p>
            <w:pPr>
              <w:spacing w:after="0"/>
              <w:rPr>
                <w:sz w:val="10"/>
                <w:szCs w:val="10"/>
                <w:color w:val="auto"/>
              </w:rPr>
            </w:pPr>
          </w:p>
        </w:tc>
      </w:tr>
      <w:tr>
        <w:trPr>
          <w:trHeight w:val="147"/>
        </w:trPr>
        <w:tc>
          <w:tcPr>
            <w:tcW w:w="8240" w:type="dxa"/>
            <w:vAlign w:val="bottom"/>
            <w:shd w:val="clear" w:color="auto" w:fill="DBE5F1"/>
          </w:tcPr>
          <w:p>
            <w:pPr>
              <w:ind w:left="140"/>
              <w:spacing w:after="0"/>
              <w:rPr>
                <w:sz w:val="20"/>
                <w:szCs w:val="20"/>
                <w:color w:val="auto"/>
              </w:rPr>
            </w:pPr>
            <w:r>
              <w:rPr>
                <w:rFonts w:ascii="Arial" w:cs="Arial" w:eastAsia="Arial" w:hAnsi="Arial"/>
                <w:sz w:val="10"/>
                <w:szCs w:val="10"/>
                <w:i w:val="1"/>
                <w:iCs w:val="1"/>
                <w:color w:val="auto"/>
              </w:rPr>
              <w:t>Vice President of Operations</w:t>
            </w:r>
          </w:p>
        </w:tc>
        <w:tc>
          <w:tcPr>
            <w:tcW w:w="960" w:type="dxa"/>
            <w:vAlign w:val="bottom"/>
            <w:shd w:val="clear" w:color="auto" w:fill="DBE5F1"/>
          </w:tcPr>
          <w:p>
            <w:pPr>
              <w:jc w:val="right"/>
              <w:spacing w:after="0"/>
              <w:rPr>
                <w:sz w:val="20"/>
                <w:szCs w:val="20"/>
                <w:color w:val="auto"/>
              </w:rPr>
            </w:pPr>
            <w:r>
              <w:rPr>
                <w:rFonts w:ascii="Arial" w:cs="Arial" w:eastAsia="Arial" w:hAnsi="Arial"/>
                <w:sz w:val="10"/>
                <w:szCs w:val="10"/>
                <w:color w:val="auto"/>
              </w:rPr>
              <w:t>42,689</w:t>
            </w:r>
          </w:p>
        </w:tc>
        <w:tc>
          <w:tcPr>
            <w:tcW w:w="2100" w:type="dxa"/>
            <w:vAlign w:val="bottom"/>
            <w:shd w:val="clear" w:color="auto" w:fill="DBE5F1"/>
          </w:tcPr>
          <w:p>
            <w:pPr>
              <w:jc w:val="right"/>
              <w:ind w:right="692"/>
              <w:spacing w:after="0"/>
              <w:rPr>
                <w:sz w:val="20"/>
                <w:szCs w:val="20"/>
                <w:color w:val="auto"/>
              </w:rPr>
            </w:pPr>
            <w:r>
              <w:rPr>
                <w:rFonts w:ascii="Arial" w:cs="Arial" w:eastAsia="Arial" w:hAnsi="Arial"/>
                <w:sz w:val="10"/>
                <w:szCs w:val="10"/>
                <w:color w:val="auto"/>
              </w:rPr>
              <w:t>*</w:t>
            </w:r>
          </w:p>
        </w:tc>
      </w:tr>
      <w:tr>
        <w:trPr>
          <w:trHeight w:val="114"/>
        </w:trPr>
        <w:tc>
          <w:tcPr>
            <w:tcW w:w="8240" w:type="dxa"/>
            <w:vAlign w:val="bottom"/>
          </w:tcPr>
          <w:p>
            <w:pPr>
              <w:spacing w:after="0" w:line="114" w:lineRule="exact"/>
              <w:rPr>
                <w:sz w:val="20"/>
                <w:szCs w:val="20"/>
                <w:color w:val="auto"/>
              </w:rPr>
            </w:pPr>
            <w:r>
              <w:rPr>
                <w:rFonts w:ascii="Arial" w:cs="Arial" w:eastAsia="Arial" w:hAnsi="Arial"/>
                <w:sz w:val="10"/>
                <w:szCs w:val="10"/>
                <w:color w:val="auto"/>
              </w:rPr>
              <w:t>Ronald E. Mills</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43"/>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Vice President of Finance and Investor Relations</w:t>
            </w:r>
          </w:p>
        </w:tc>
        <w:tc>
          <w:tcPr>
            <w:tcW w:w="960" w:type="dxa"/>
            <w:vAlign w:val="bottom"/>
          </w:tcPr>
          <w:p>
            <w:pPr>
              <w:jc w:val="right"/>
              <w:spacing w:after="0"/>
              <w:rPr>
                <w:sz w:val="20"/>
                <w:szCs w:val="20"/>
                <w:color w:val="auto"/>
              </w:rPr>
            </w:pPr>
            <w:r>
              <w:rPr>
                <w:rFonts w:ascii="Arial" w:cs="Arial" w:eastAsia="Arial" w:hAnsi="Arial"/>
                <w:sz w:val="10"/>
                <w:szCs w:val="10"/>
                <w:color w:val="auto"/>
              </w:rPr>
              <w:t>33,929</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BE5F1"/>
          </w:tcPr>
          <w:p>
            <w:pPr>
              <w:spacing w:after="0"/>
              <w:rPr>
                <w:sz w:val="20"/>
                <w:szCs w:val="20"/>
                <w:color w:val="auto"/>
              </w:rPr>
            </w:pPr>
            <w:r>
              <w:rPr>
                <w:rFonts w:ascii="Arial" w:cs="Arial" w:eastAsia="Arial" w:hAnsi="Arial"/>
                <w:sz w:val="10"/>
                <w:szCs w:val="10"/>
                <w:color w:val="auto"/>
              </w:rPr>
              <w:t>Daniel K. Presley</w:t>
            </w:r>
          </w:p>
        </w:tc>
        <w:tc>
          <w:tcPr>
            <w:tcW w:w="960" w:type="dxa"/>
            <w:vAlign w:val="bottom"/>
            <w:shd w:val="clear" w:color="auto" w:fill="DBE5F1"/>
          </w:tcPr>
          <w:p>
            <w:pPr>
              <w:spacing w:after="0"/>
              <w:rPr>
                <w:sz w:val="10"/>
                <w:szCs w:val="10"/>
                <w:color w:val="auto"/>
              </w:rPr>
            </w:pPr>
          </w:p>
        </w:tc>
        <w:tc>
          <w:tcPr>
            <w:tcW w:w="2100" w:type="dxa"/>
            <w:vAlign w:val="bottom"/>
            <w:shd w:val="clear" w:color="auto" w:fill="DBE5F1"/>
          </w:tcPr>
          <w:p>
            <w:pPr>
              <w:spacing w:after="0"/>
              <w:rPr>
                <w:sz w:val="10"/>
                <w:szCs w:val="10"/>
                <w:color w:val="auto"/>
              </w:rPr>
            </w:pPr>
          </w:p>
        </w:tc>
      </w:tr>
      <w:tr>
        <w:trPr>
          <w:trHeight w:val="147"/>
        </w:trPr>
        <w:tc>
          <w:tcPr>
            <w:tcW w:w="8240" w:type="dxa"/>
            <w:vAlign w:val="bottom"/>
            <w:shd w:val="clear" w:color="auto" w:fill="DBE5F1"/>
          </w:tcPr>
          <w:p>
            <w:pPr>
              <w:ind w:left="140"/>
              <w:spacing w:after="0"/>
              <w:rPr>
                <w:sz w:val="20"/>
                <w:szCs w:val="20"/>
                <w:color w:val="auto"/>
              </w:rPr>
            </w:pPr>
            <w:r>
              <w:rPr>
                <w:rFonts w:ascii="Arial" w:cs="Arial" w:eastAsia="Arial" w:hAnsi="Arial"/>
                <w:sz w:val="10"/>
                <w:szCs w:val="10"/>
                <w:i w:val="1"/>
                <w:iCs w:val="1"/>
                <w:color w:val="auto"/>
              </w:rPr>
              <w:t>Vice President of Accounting</w:t>
            </w:r>
          </w:p>
        </w:tc>
        <w:tc>
          <w:tcPr>
            <w:tcW w:w="960" w:type="dxa"/>
            <w:vAlign w:val="bottom"/>
            <w:shd w:val="clear" w:color="auto" w:fill="DBE5F1"/>
          </w:tcPr>
          <w:p>
            <w:pPr>
              <w:jc w:val="right"/>
              <w:spacing w:after="0"/>
              <w:rPr>
                <w:sz w:val="20"/>
                <w:szCs w:val="20"/>
                <w:color w:val="auto"/>
              </w:rPr>
            </w:pPr>
            <w:r>
              <w:rPr>
                <w:rFonts w:ascii="Arial" w:cs="Arial" w:eastAsia="Arial" w:hAnsi="Arial"/>
                <w:sz w:val="10"/>
                <w:szCs w:val="10"/>
                <w:color w:val="auto"/>
              </w:rPr>
              <w:t>120,238</w:t>
            </w:r>
          </w:p>
        </w:tc>
        <w:tc>
          <w:tcPr>
            <w:tcW w:w="2100" w:type="dxa"/>
            <w:vAlign w:val="bottom"/>
            <w:shd w:val="clear" w:color="auto" w:fill="DBE5F1"/>
          </w:tcPr>
          <w:p>
            <w:pPr>
              <w:jc w:val="right"/>
              <w:ind w:right="692"/>
              <w:spacing w:after="0"/>
              <w:rPr>
                <w:sz w:val="20"/>
                <w:szCs w:val="20"/>
                <w:color w:val="auto"/>
              </w:rPr>
            </w:pPr>
            <w:r>
              <w:rPr>
                <w:rFonts w:ascii="Arial" w:cs="Arial" w:eastAsia="Arial" w:hAnsi="Arial"/>
                <w:sz w:val="10"/>
                <w:szCs w:val="10"/>
                <w:color w:val="auto"/>
              </w:rPr>
              <w:t>*</w:t>
            </w:r>
          </w:p>
        </w:tc>
      </w:tr>
      <w:tr>
        <w:trPr>
          <w:trHeight w:val="114"/>
        </w:trPr>
        <w:tc>
          <w:tcPr>
            <w:tcW w:w="8240" w:type="dxa"/>
            <w:vAlign w:val="bottom"/>
          </w:tcPr>
          <w:p>
            <w:pPr>
              <w:spacing w:after="0" w:line="114" w:lineRule="exact"/>
              <w:rPr>
                <w:sz w:val="20"/>
                <w:szCs w:val="20"/>
                <w:color w:val="auto"/>
              </w:rPr>
            </w:pPr>
            <w:r>
              <w:rPr>
                <w:rFonts w:ascii="Arial" w:cs="Arial" w:eastAsia="Arial" w:hAnsi="Arial"/>
                <w:sz w:val="10"/>
                <w:szCs w:val="10"/>
                <w:color w:val="auto"/>
              </w:rPr>
              <w:t>LaRae L. Sanders</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43"/>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Vice President of Land</w:t>
            </w:r>
          </w:p>
        </w:tc>
        <w:tc>
          <w:tcPr>
            <w:tcW w:w="960" w:type="dxa"/>
            <w:vAlign w:val="bottom"/>
          </w:tcPr>
          <w:p>
            <w:pPr>
              <w:jc w:val="right"/>
              <w:spacing w:after="0"/>
              <w:rPr>
                <w:sz w:val="20"/>
                <w:szCs w:val="20"/>
                <w:color w:val="auto"/>
              </w:rPr>
            </w:pPr>
            <w:r>
              <w:rPr>
                <w:rFonts w:ascii="Arial" w:cs="Arial" w:eastAsia="Arial" w:hAnsi="Arial"/>
                <w:sz w:val="10"/>
                <w:szCs w:val="10"/>
                <w:color w:val="auto"/>
              </w:rPr>
              <w:t>109,193</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BE5F1"/>
          </w:tcPr>
          <w:p>
            <w:pPr>
              <w:spacing w:after="0"/>
              <w:rPr>
                <w:sz w:val="20"/>
                <w:szCs w:val="20"/>
                <w:color w:val="auto"/>
              </w:rPr>
            </w:pPr>
            <w:r>
              <w:rPr>
                <w:rFonts w:ascii="Arial" w:cs="Arial" w:eastAsia="Arial" w:hAnsi="Arial"/>
                <w:sz w:val="10"/>
                <w:szCs w:val="10"/>
                <w:color w:val="auto"/>
              </w:rPr>
              <w:t>David J. Terry</w:t>
            </w:r>
          </w:p>
        </w:tc>
        <w:tc>
          <w:tcPr>
            <w:tcW w:w="960" w:type="dxa"/>
            <w:vAlign w:val="bottom"/>
            <w:shd w:val="clear" w:color="auto" w:fill="DBE5F1"/>
          </w:tcPr>
          <w:p>
            <w:pPr>
              <w:spacing w:after="0"/>
              <w:rPr>
                <w:sz w:val="10"/>
                <w:szCs w:val="10"/>
                <w:color w:val="auto"/>
              </w:rPr>
            </w:pPr>
          </w:p>
        </w:tc>
        <w:tc>
          <w:tcPr>
            <w:tcW w:w="2100" w:type="dxa"/>
            <w:vAlign w:val="bottom"/>
            <w:shd w:val="clear" w:color="auto" w:fill="DBE5F1"/>
          </w:tcPr>
          <w:p>
            <w:pPr>
              <w:spacing w:after="0"/>
              <w:rPr>
                <w:sz w:val="10"/>
                <w:szCs w:val="10"/>
                <w:color w:val="auto"/>
              </w:rPr>
            </w:pPr>
          </w:p>
        </w:tc>
      </w:tr>
      <w:tr>
        <w:trPr>
          <w:trHeight w:val="147"/>
        </w:trPr>
        <w:tc>
          <w:tcPr>
            <w:tcW w:w="8240" w:type="dxa"/>
            <w:vAlign w:val="bottom"/>
            <w:shd w:val="clear" w:color="auto" w:fill="DBE5F1"/>
          </w:tcPr>
          <w:p>
            <w:pPr>
              <w:ind w:left="140"/>
              <w:spacing w:after="0"/>
              <w:rPr>
                <w:sz w:val="20"/>
                <w:szCs w:val="20"/>
                <w:color w:val="auto"/>
              </w:rPr>
            </w:pPr>
            <w:r>
              <w:rPr>
                <w:rFonts w:ascii="Arial" w:cs="Arial" w:eastAsia="Arial" w:hAnsi="Arial"/>
                <w:sz w:val="10"/>
                <w:szCs w:val="10"/>
                <w:i w:val="1"/>
                <w:iCs w:val="1"/>
                <w:color w:val="auto"/>
              </w:rPr>
              <w:t>Senior Vice President of Corporate Development</w:t>
            </w:r>
          </w:p>
        </w:tc>
        <w:tc>
          <w:tcPr>
            <w:tcW w:w="960" w:type="dxa"/>
            <w:vAlign w:val="bottom"/>
            <w:shd w:val="clear" w:color="auto" w:fill="DBE5F1"/>
          </w:tcPr>
          <w:p>
            <w:pPr>
              <w:jc w:val="right"/>
              <w:spacing w:after="0"/>
              <w:rPr>
                <w:sz w:val="20"/>
                <w:szCs w:val="20"/>
                <w:color w:val="auto"/>
              </w:rPr>
            </w:pPr>
            <w:r>
              <w:rPr>
                <w:rFonts w:ascii="Arial" w:cs="Arial" w:eastAsia="Arial" w:hAnsi="Arial"/>
                <w:sz w:val="10"/>
                <w:szCs w:val="10"/>
                <w:color w:val="auto"/>
              </w:rPr>
              <w:t>75,864</w:t>
            </w:r>
          </w:p>
        </w:tc>
        <w:tc>
          <w:tcPr>
            <w:tcW w:w="2100" w:type="dxa"/>
            <w:vAlign w:val="bottom"/>
            <w:shd w:val="clear" w:color="auto" w:fill="DBE5F1"/>
          </w:tcPr>
          <w:p>
            <w:pPr>
              <w:jc w:val="right"/>
              <w:ind w:right="692"/>
              <w:spacing w:after="0"/>
              <w:rPr>
                <w:sz w:val="20"/>
                <w:szCs w:val="20"/>
                <w:color w:val="auto"/>
              </w:rPr>
            </w:pPr>
            <w:r>
              <w:rPr>
                <w:rFonts w:ascii="Arial" w:cs="Arial" w:eastAsia="Arial" w:hAnsi="Arial"/>
                <w:sz w:val="10"/>
                <w:szCs w:val="10"/>
                <w:color w:val="auto"/>
              </w:rPr>
              <w:t>*</w:t>
            </w:r>
          </w:p>
        </w:tc>
      </w:tr>
      <w:tr>
        <w:trPr>
          <w:trHeight w:val="114"/>
        </w:trPr>
        <w:tc>
          <w:tcPr>
            <w:tcW w:w="8240" w:type="dxa"/>
            <w:vAlign w:val="bottom"/>
          </w:tcPr>
          <w:p>
            <w:pPr>
              <w:spacing w:after="0" w:line="114" w:lineRule="exact"/>
              <w:rPr>
                <w:sz w:val="20"/>
                <w:szCs w:val="20"/>
                <w:color w:val="auto"/>
              </w:rPr>
            </w:pPr>
            <w:r>
              <w:rPr>
                <w:rFonts w:ascii="Arial" w:cs="Arial" w:eastAsia="Arial" w:hAnsi="Arial"/>
                <w:sz w:val="10"/>
                <w:szCs w:val="10"/>
                <w:color w:val="auto"/>
              </w:rPr>
              <w:t>Jim L. Turner</w:t>
            </w:r>
          </w:p>
        </w:tc>
        <w:tc>
          <w:tcPr>
            <w:tcW w:w="96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143"/>
        </w:trPr>
        <w:tc>
          <w:tcPr>
            <w:tcW w:w="8240" w:type="dxa"/>
            <w:vAlign w:val="bottom"/>
          </w:tcPr>
          <w:p>
            <w:pPr>
              <w:ind w:left="140"/>
              <w:spacing w:after="0"/>
              <w:rPr>
                <w:sz w:val="20"/>
                <w:szCs w:val="20"/>
                <w:color w:val="auto"/>
              </w:rPr>
            </w:pPr>
            <w:r>
              <w:rPr>
                <w:rFonts w:ascii="Arial" w:cs="Arial" w:eastAsia="Arial" w:hAnsi="Arial"/>
                <w:sz w:val="10"/>
                <w:szCs w:val="10"/>
                <w:i w:val="1"/>
                <w:iCs w:val="1"/>
                <w:color w:val="auto"/>
              </w:rPr>
              <w:t>Director</w:t>
            </w:r>
          </w:p>
        </w:tc>
        <w:tc>
          <w:tcPr>
            <w:tcW w:w="960" w:type="dxa"/>
            <w:vAlign w:val="bottom"/>
          </w:tcPr>
          <w:p>
            <w:pPr>
              <w:jc w:val="right"/>
              <w:spacing w:after="0"/>
              <w:rPr>
                <w:sz w:val="20"/>
                <w:szCs w:val="20"/>
                <w:color w:val="auto"/>
              </w:rPr>
            </w:pPr>
            <w:r>
              <w:rPr>
                <w:rFonts w:ascii="Arial" w:cs="Arial" w:eastAsia="Arial" w:hAnsi="Arial"/>
                <w:sz w:val="10"/>
                <w:szCs w:val="10"/>
                <w:color w:val="auto"/>
              </w:rPr>
              <w:t>187,704</w:t>
            </w:r>
          </w:p>
        </w:tc>
        <w:tc>
          <w:tcPr>
            <w:tcW w:w="2100" w:type="dxa"/>
            <w:vAlign w:val="bottom"/>
          </w:tcPr>
          <w:p>
            <w:pPr>
              <w:jc w:val="right"/>
              <w:ind w:right="692"/>
              <w:spacing w:after="0"/>
              <w:rPr>
                <w:sz w:val="20"/>
                <w:szCs w:val="20"/>
                <w:color w:val="auto"/>
              </w:rPr>
            </w:pPr>
            <w:r>
              <w:rPr>
                <w:rFonts w:ascii="Arial" w:cs="Arial" w:eastAsia="Arial" w:hAnsi="Arial"/>
                <w:sz w:val="10"/>
                <w:szCs w:val="10"/>
                <w:color w:val="auto"/>
              </w:rPr>
              <w:t>*</w:t>
            </w:r>
          </w:p>
        </w:tc>
      </w:tr>
      <w:tr>
        <w:trPr>
          <w:trHeight w:val="118"/>
        </w:trPr>
        <w:tc>
          <w:tcPr>
            <w:tcW w:w="8240" w:type="dxa"/>
            <w:vAlign w:val="bottom"/>
            <w:shd w:val="clear" w:color="auto" w:fill="DBE5F1"/>
          </w:tcPr>
          <w:p>
            <w:pPr>
              <w:spacing w:after="0"/>
              <w:rPr>
                <w:sz w:val="20"/>
                <w:szCs w:val="20"/>
                <w:color w:val="auto"/>
              </w:rPr>
            </w:pPr>
            <w:r>
              <w:rPr>
                <w:rFonts w:ascii="Arial" w:cs="Arial" w:eastAsia="Arial" w:hAnsi="Arial"/>
                <w:sz w:val="10"/>
                <w:szCs w:val="10"/>
                <w:color w:val="auto"/>
              </w:rPr>
              <w:t>Whitney H. Ward</w:t>
            </w:r>
          </w:p>
        </w:tc>
        <w:tc>
          <w:tcPr>
            <w:tcW w:w="960" w:type="dxa"/>
            <w:vAlign w:val="bottom"/>
            <w:shd w:val="clear" w:color="auto" w:fill="DBE5F1"/>
          </w:tcPr>
          <w:p>
            <w:pPr>
              <w:spacing w:after="0"/>
              <w:rPr>
                <w:sz w:val="10"/>
                <w:szCs w:val="10"/>
                <w:color w:val="auto"/>
              </w:rPr>
            </w:pPr>
          </w:p>
        </w:tc>
        <w:tc>
          <w:tcPr>
            <w:tcW w:w="2100" w:type="dxa"/>
            <w:vAlign w:val="bottom"/>
            <w:shd w:val="clear" w:color="auto" w:fill="DBE5F1"/>
          </w:tcPr>
          <w:p>
            <w:pPr>
              <w:spacing w:after="0"/>
              <w:rPr>
                <w:sz w:val="10"/>
                <w:szCs w:val="10"/>
                <w:color w:val="auto"/>
              </w:rPr>
            </w:pPr>
          </w:p>
        </w:tc>
      </w:tr>
      <w:tr>
        <w:trPr>
          <w:trHeight w:val="147"/>
        </w:trPr>
        <w:tc>
          <w:tcPr>
            <w:tcW w:w="8240" w:type="dxa"/>
            <w:vAlign w:val="bottom"/>
            <w:shd w:val="clear" w:color="auto" w:fill="DBE5F1"/>
          </w:tcPr>
          <w:p>
            <w:pPr>
              <w:ind w:left="140"/>
              <w:spacing w:after="0"/>
              <w:rPr>
                <w:sz w:val="20"/>
                <w:szCs w:val="20"/>
                <w:color w:val="auto"/>
              </w:rPr>
            </w:pPr>
            <w:r>
              <w:rPr>
                <w:rFonts w:ascii="Arial" w:cs="Arial" w:eastAsia="Arial" w:hAnsi="Arial"/>
                <w:sz w:val="10"/>
                <w:szCs w:val="10"/>
                <w:i w:val="1"/>
                <w:iCs w:val="1"/>
                <w:color w:val="auto"/>
              </w:rPr>
              <w:t>Vice President of Marketing</w:t>
            </w:r>
          </w:p>
        </w:tc>
        <w:tc>
          <w:tcPr>
            <w:tcW w:w="960" w:type="dxa"/>
            <w:vAlign w:val="bottom"/>
            <w:shd w:val="clear" w:color="auto" w:fill="DBE5F1"/>
          </w:tcPr>
          <w:p>
            <w:pPr>
              <w:jc w:val="right"/>
              <w:spacing w:after="0"/>
              <w:rPr>
                <w:sz w:val="20"/>
                <w:szCs w:val="20"/>
                <w:color w:val="auto"/>
              </w:rPr>
            </w:pPr>
            <w:r>
              <w:rPr>
                <w:rFonts w:ascii="Arial" w:cs="Arial" w:eastAsia="Arial" w:hAnsi="Arial"/>
                <w:sz w:val="10"/>
                <w:szCs w:val="10"/>
                <w:color w:val="auto"/>
              </w:rPr>
              <w:t>41,154</w:t>
            </w:r>
          </w:p>
        </w:tc>
        <w:tc>
          <w:tcPr>
            <w:tcW w:w="2100" w:type="dxa"/>
            <w:vAlign w:val="bottom"/>
            <w:shd w:val="clear" w:color="auto" w:fill="DBE5F1"/>
          </w:tcPr>
          <w:p>
            <w:pPr>
              <w:jc w:val="right"/>
              <w:ind w:right="692"/>
              <w:spacing w:after="0"/>
              <w:rPr>
                <w:sz w:val="20"/>
                <w:szCs w:val="20"/>
                <w:color w:val="auto"/>
              </w:rPr>
            </w:pPr>
            <w:r>
              <w:rPr>
                <w:rFonts w:ascii="Arial" w:cs="Arial" w:eastAsia="Arial" w:hAnsi="Arial"/>
                <w:sz w:val="10"/>
                <w:szCs w:val="10"/>
                <w:color w:val="auto"/>
              </w:rPr>
              <w:t>*</w:t>
            </w:r>
          </w:p>
        </w:tc>
      </w:tr>
      <w:tr>
        <w:trPr>
          <w:trHeight w:val="136"/>
        </w:trPr>
        <w:tc>
          <w:tcPr>
            <w:tcW w:w="8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All Executive Officers and Directors as a Group (12 Persons)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3,094,107</w:t>
            </w:r>
          </w:p>
        </w:tc>
        <w:tc>
          <w:tcPr>
            <w:tcW w:w="21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1.3%</w:t>
            </w:r>
          </w:p>
        </w:tc>
      </w:tr>
    </w:tbl>
    <w:p>
      <w:pPr>
        <w:spacing w:after="0" w:line="72"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8"/>
          <w:szCs w:val="8"/>
          <w:i w:val="1"/>
          <w:iCs w:val="1"/>
          <w:color w:val="auto"/>
        </w:rPr>
      </w:pPr>
      <w:r>
        <w:rPr>
          <w:rFonts w:ascii="Arial" w:cs="Arial" w:eastAsia="Arial" w:hAnsi="Arial"/>
          <w:sz w:val="8"/>
          <w:szCs w:val="8"/>
          <w:i w:val="1"/>
          <w:iCs w:val="1"/>
          <w:color w:val="auto"/>
        </w:rPr>
        <w:t>Indicates less than one percent</w:t>
      </w:r>
    </w:p>
    <w:p>
      <w:pPr>
        <w:spacing w:after="0" w:line="34"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8"/>
          <w:szCs w:val="8"/>
          <w:i w:val="1"/>
          <w:iCs w:val="1"/>
          <w:color w:val="auto"/>
        </w:rPr>
      </w:pPr>
      <w:r>
        <w:rPr>
          <w:rFonts w:ascii="Arial" w:cs="Arial" w:eastAsia="Arial" w:hAnsi="Arial"/>
          <w:sz w:val="8"/>
          <w:szCs w:val="8"/>
          <w:i w:val="1"/>
          <w:iCs w:val="1"/>
          <w:color w:val="auto"/>
        </w:rPr>
        <w:t>The address of each beneficial owner is c/o Comstock Resources, Inc., 5300 Town and Country Blvd, Suite 500, Frisco, Texas 75034.</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8"/>
          </w:cols>
          <w:pgMar w:left="292" w:top="131" w:right="299" w:bottom="1440" w:gutter="0" w:footer="0" w:header="0"/>
        </w:sectPr>
      </w:pPr>
    </w:p>
    <w:bookmarkStart w:id="13" w:name="page14"/>
    <w:bookmarkEnd w:id="13"/>
    <w:p>
      <w:pPr>
        <w:spacing w:after="0"/>
        <w:rPr>
          <w:rFonts w:ascii="Arial" w:cs="Arial" w:eastAsia="Arial" w:hAnsi="Arial"/>
          <w:sz w:val="10"/>
          <w:szCs w:val="10"/>
          <w:u w:val="single" w:color="auto"/>
          <w:color w:val="0000FF"/>
        </w:rPr>
      </w:pPr>
      <w:hyperlink w:anchor="page4">
        <w:r>
          <w:rPr>
            <w:rFonts w:ascii="Arial" w:cs="Arial" w:eastAsia="Arial" w:hAnsi="Arial"/>
            <w:sz w:val="10"/>
            <w:szCs w:val="10"/>
            <w:u w:val="single" w:color="auto"/>
            <w:color w:val="0000FF"/>
          </w:rPr>
          <w:t>Table of Contents</w:t>
        </w:r>
      </w:hyperlink>
    </w:p>
    <w:p>
      <w:pPr>
        <w:sectPr>
          <w:pgSz w:w="11900" w:h="16838" w:orient="portrait"/>
          <w:cols w:equalWidth="0" w:num="1">
            <w:col w:w="11300"/>
          </w:cols>
          <w:pgMar w:left="300" w:top="131" w:right="29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b w:val="1"/>
          <w:bCs w:val="1"/>
          <w:color w:val="225CAB"/>
        </w:rPr>
        <w:t>PROPOSAL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b w:val="1"/>
          <w:bCs w:val="1"/>
          <w:color w:val="225CAB"/>
        </w:rPr>
        <w:t>TO ELECT EACH OF THE FOLLOWING FIVE DIRECTOR NOMINEES TO THE COMPANY'S BOARD OF DIRECTORS</w:t>
      </w:r>
    </w:p>
    <w:p>
      <w:pPr>
        <w:spacing w:after="0" w:line="116" w:lineRule="exact"/>
        <w:rPr>
          <w:sz w:val="20"/>
          <w:szCs w:val="20"/>
          <w:color w:val="auto"/>
        </w:rPr>
      </w:pPr>
    </w:p>
    <w:p>
      <w:pPr>
        <w:sectPr>
          <w:pgSz w:w="11900" w:h="16838" w:orient="portrait"/>
          <w:cols w:equalWidth="0" w:num="2">
            <w:col w:w="2880" w:space="720"/>
            <w:col w:w="7700"/>
          </w:cols>
          <w:pgMar w:left="300" w:top="131" w:right="299" w:bottom="1440" w:gutter="0" w:footer="0" w:header="0"/>
          <w:type w:val="continuous"/>
        </w:sectPr>
      </w:pPr>
    </w:p>
    <w:p>
      <w:pPr>
        <w:spacing w:after="0"/>
        <w:rPr>
          <w:sz w:val="20"/>
          <w:szCs w:val="20"/>
          <w:color w:val="auto"/>
        </w:rPr>
      </w:pPr>
      <w:r>
        <w:rPr>
          <w:rFonts w:ascii="Arial" w:cs="Arial" w:eastAsia="Arial" w:hAnsi="Arial"/>
          <w:sz w:val="12"/>
          <w:szCs w:val="12"/>
          <w:color w:val="auto"/>
        </w:rPr>
        <w:t>The Company nominates each of its current directors for re-election, in each case, to serve a term of one year beginning at the Annual Meeting and until their successors are duly elected and qualified.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Our Board presently consists of five members, all of whom are elected to serve one year terms.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Under this Proposal 1, the Board has nominated M. Jay Allison, Roland O. Burns, Elizabeth B. Davis, Morris E. Foster, and Jim L. Turner.</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If you do not vote for a particular nominee on your Proxy Card, your vote will not count either "for" or "against" the nominee. In an uncontested election, such as this one, any nominee for director who has a majority of votes cast "withheld" from his or her election will be required to promptly tender his or her resignation to the Board. The corporate governance/nominating committee will consider the tendered resignation and recommend to the Board whether to accept or reject the resignation. The Board will act on the committee's recommendation and publicly disclose its decision. Any director who tenders his or her resignation will not participate in the committee's recommendation or the board action regarding whether to accept or reject the tendered resignation. Any vacancies on the Board may be filled in accordance with our governing documents.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Information about our current directors, who are also the nominees for director, appears below under the heading "Director Nominees."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225CAB"/>
        </w:rPr>
        <w:t>The Board recommends that stockholders vote "FOR" the election of each of the director nominees.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Selection Criteria and Qualifications of Director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Director Selection Process</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Board is presently set at nine members, and Arkoma Drilling, L.P. and Williston Drilling, L.P. (the "Jones Partnerships") have the right to designate five of the nine members to the Board (the "Jones Designees"). If the aggregate interest held by the Jones Partnerships (together with any affiliates) falls below 50% of the outstanding common stock of the Company (on a fully diluted basis), the Company and the Board are only required to nominate and recommend four Jones Designees. If the aggregate interest held by the Jones Partnerships (together with any affiliates) falls below 35% of the outstanding common stock of the Company (on a fully diluted basis), the Company and the Board are only required to nominate and recommend two Jones Designees. If the aggregate interest held by the Jones Partnerships (together with any affiliates) falls below 15% of the outstanding common stock of the Company (on a fully diluted basis), the Company and the Board will have no further obligation to nominate and recommend any Jones Designees to the Board. All of the director nominees are current Jones Designees, and there are four vacancies on the Board.</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a result of the ownership by the Jones Partnerships of over 50% of our outstanding common stock, we are a "controlled company" pursuant to the NYSE corporate governance standards. Under the NYSE rules, a company in which more than 50% of the voting power is held by an individual, group or another company is a "controlled company" and may elect to not comply with certain NYSE corporate governance requirements, including the requirement that a majority of the board of directors consist of independent directors, the requirement that we have a nominating and corporate governance committee comprised entirely of independent directors with a written charter addressing the committee's purpose and responsibilities, and the requirement that we have a compensation committee comprised entirely of independent directors with a written charter addressing the committee's purpose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31" w:right="299" w:bottom="1440" w:gutter="0" w:footer="0" w:header="0"/>
          <w:type w:val="continuous"/>
        </w:sectPr>
      </w:pPr>
    </w:p>
    <w:bookmarkStart w:id="14" w:name="page15"/>
    <w:bookmarkEnd w:id="1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and responsibilities. At this time we have elected not to utilize any of these exemptions, and all of our non-management directors, and all the members of our corporate governance/nominating, compensation and audit committees are independent directors. We may elect to utilize any or all of these exemptions in the future.</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nominating functions of the Board are handled by the corporate governance/nominating committee pursuant to its charter. In evaluating nominees for membership on the Board, the corporate governance/nominating committee applies the board qualification standards set forth in our corporate governance guidelines. Under these qualification standards, the corporate governance/nominating committee will take into account many factors, including education, business, governmental and civic experience, broad and diverse backgrounds, communication, interpersonal and other required skills, independence, wisdom, integrity, an understanding and general acceptance of our current corporate philosophy, strong business or professional knowledge and experience that can bear on our problems and deliberations, an inquiring mind, the willingness to speak one's mind and ability to challenge and stimulate management, future orientation and the willingness to commit the required time and energy.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Other than the foregoing, there are no stated minimum criteria for director nominees, although the corporate governance/nominating committee may consider such other factors as it may deem are in the best interests of us and our stockholders. The corporate governance/nominating committee evaluates each individual in the context of the Board as a whole, with the objective of recommending nominees who can best perpetuate the success of the business, be an effective director in conjunction with the full Board, and represent stockholder interests through the exercise of sound judgment using their diversity of experience in these various areas.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corporate governance/nominating committee regularly assesses the appropriate size of the Board, and whether any vacancies on the Board are expected due to retirement or otherwise. In the event that vacancies are anticipated, or otherwise arise, the corporate governance/nominating committee will consider various potential candidates who may come to the attention of the committee through current board members, professional search firms, stockholders or other persons. Each candidate brought to the attention of the corporate governance/nominating committee, regardless of who recommended such candidate, is considered on the basis of the criteria set forth in our corporate governance guidelines.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Director Nominees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The corporate governance/nominating committee has recommended, and the Board has nominated, the following for election as directors.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unwilling or unable to serve if elected as a director.</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Biographical information concerning the current directors standing for re-election appears below.</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225CAB"/>
        </w:rPr>
        <w:t>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Chairman of the Board of Directors and Chief Executive Officer</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Mr. Allison, age 65, has been our Chief Executive Officer since 1988. Mr. Allison was elected Chairman of the Board in 1997 and has been a director since 1987. From 1988 to 2013, Mr. Allison served as our President. From 1981 to 1987, he was a practicing oil and gas attorney with the firm of Lynch, Chappell &amp; Alsup in Midland, Texas.</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Mr. Allison has 33 years of executive leadership experience in the oil and gas industry. Mr. Allison combines his educational background in business and in commercial law, along with his entrepreneurial spirit, his driven work ethic and extensive knowledge of the oil and gas industry, to pursue disciplined investments intended to enhance stockholder value.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1"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i w:val="1"/>
          <w:iCs w:val="1"/>
          <w:color w:val="225CAB"/>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President, Chief Financial Officer and Secretary</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Mr. Burns, age 61, has been our President since 2013, Chief Financial Officer since 1990, Secretary since 1991 and a director since 1999. Mr. Burns served as our Senior Vice President from 1994 to 2013 and Treasurer from 1990 to 2013. From 1982 to 1990, Mr. Burns was employed by the public accounting firm, Arthur Andersen. During his tenure with Arthur Andersen, Mr. Burns worked primarily in the firm's oil and gas audit practice. Mr. Burns currently serves on the board of directors and audit committee of the University of Mississippi Foundation.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Mr. Burns is an experienced financial executive with extensive knowledge and experience in financial reporting, internal controls in the oil and gas industry, treasury and risk management, mergers and acquisitions, and regulatory compliance. Mr. Burns works with Mr. Allison to evaluate and consider business development opportunities and financing proposals. Mr. Burns, who is our principal contact with investors and investment bankers, updates the Board on trends in the capital markets, including the availability of debt and equity financing and transactional activity in the oil and gas industry.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225CAB"/>
        </w:rPr>
        <w:t>Elizabeth B. Davis,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w:t>
      </w:r>
    </w:p>
    <w:p>
      <w:pPr>
        <w:spacing w:after="0" w:line="206" w:lineRule="exact"/>
        <w:rPr>
          <w:sz w:val="20"/>
          <w:szCs w:val="20"/>
          <w:color w:val="auto"/>
        </w:rPr>
      </w:pPr>
    </w:p>
    <w:p>
      <w:pPr>
        <w:jc w:val="both"/>
        <w:ind w:right="20"/>
        <w:spacing w:after="0" w:line="290" w:lineRule="auto"/>
        <w:rPr>
          <w:sz w:val="20"/>
          <w:szCs w:val="20"/>
          <w:color w:val="auto"/>
        </w:rPr>
      </w:pPr>
      <w:r>
        <w:rPr>
          <w:rFonts w:ascii="Arial" w:cs="Arial" w:eastAsia="Arial" w:hAnsi="Arial"/>
          <w:sz w:val="12"/>
          <w:szCs w:val="12"/>
          <w:color w:val="auto"/>
        </w:rPr>
        <w:t>Dr. Davis, age 58, has served as a director since 2014. Dr. Davis is currently the president of Furman University. Dr. Davis was the executive vice president and provost for Baylor University until 2014, and served as interim provost from 2008 to 2010. Prior to her appointment as provost, she was a professor of accounting at Baylor University where she also served as associate dean for undergraduate programs and as acting chair for the Department of Accounting and Business Law. Prior to joining Baylor University, she worked for the public accounting firm Arthur Andersen from 1984 to 1987.</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Dr. Davis brings to the Board executive experience from her leadership roles in higher education as well as expertise in finance and accounting from her teaching and research experiences.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225CAB"/>
        </w:rPr>
        <w:t>Morris E.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Morris E. Foster, age 78, has served as a director since 2017. Mr. Foster retired in 2008 as vice president of ExxonMobil Corporation and president of ExxonMobil Production Company following more than 40 years of service with the ExxonMobil group. Mr. Foster served in a number of engineering and management roles domestically as well as in the United Kingdom and Malaysia prior to his appointment in 1995 as a senior vice president in charge of the upstream business of Exxon Company, USA.</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In 1998, Mr. Foster was appointed president of Exxon Upstream Development Company, and following the merger of Exxon and Mobil in 1999, he was named to the position of president of ExxonMobil Development Company. In 2004, Mr. Foster was named president of Exxon Mobil Production Company, the division responsible for ExxonMobil's upstream oil and gas exploration and production business, and a vice president of ExxonMobil Corporation. Mr. Foster currently serves as chairman of Stagecoach Properties Inc., a real estate holding corporation with properties in Salado, Houston and College Station, Texas and Carmel, California and as a member of the Board of Regents of Texas A&amp;M University. In addition, Mr. Foster currently serves on the board of directors of Scott &amp; White Medical Institute.</w:t>
      </w:r>
    </w:p>
    <w:p>
      <w:pPr>
        <w:spacing w:after="0" w:line="107"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Mr. Foster brings to the Board extensive executive management experience in the oil and gas industry. He additionally brings his substantial experience in international operations and mergers and acquisitions gained from his career at one of the world's largest companies.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i w:val="1"/>
          <w:iCs w:val="1"/>
          <w:color w:val="225CAB"/>
        </w:rPr>
        <w:t>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Mr. Turner, age 75, has served as a director since 2014. Mr. Turner currently serves as chairman of Turner Holdings, LLC and chief executive officer of JLT Automotive, Inc. Mr. Turner served as president and chief executive officer of Dr. Pepper/Seven Up Bottling Group, Inc. from its formation in 1999 through 2005, when he sold his interest in that company. Prior to that, Mr. Turner served as owner/chairman of the board and chief executive officer of the Turner Beverage Group, the largest privately owned independent bottler in the United States. He is past-chairman and currently serves on the board of trustees of Baylor Scott and White Health, the largest not-for-profit healthcare system in the State of Texas, where he also serves as chairman of the finance committee and as a member of the executive committee. He is a director of Crown Holdings, where he also serves as chairman of the compensation committee and as a member of the nominating and governance committee. He is on the board of directors of INSURICA, a full service insurance agency. Mr. Turner is former chairman of Dean Foods Company, where he also served as chairman of the compensation committee.</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Mr. Turner brings his extensive business experience as chairman and chief executive officer of a large corporation to the Board. Mr. Turner has valuable experience in business development, finance and mergers and acquisitions. Mr. Turner's service as a director of other publically held companies, including his service as the chairman of the board and chairman of the compensation committee, provides substantial experience and insight to our Board.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31" w:right="299" w:bottom="1440" w:gutter="0" w:footer="0" w:header="0"/>
        </w:sectPr>
      </w:pPr>
    </w:p>
    <w:bookmarkStart w:id="17" w:name="page18"/>
    <w:bookmarkEnd w:id="17"/>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Corporate Governance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Corporate Governance Guidelines and Code of Business Conduct and Ethics</w:t>
      </w:r>
    </w:p>
    <w:p>
      <w:pPr>
        <w:spacing w:after="0" w:line="80"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 xml:space="preserve">The Board has adopted a set of corporate governance guidelines, a code of business conduct and ethics and a policy regarding the approval of related party transactions. These materials are available on our website at </w:t>
      </w:r>
      <w:r>
        <w:rPr>
          <w:rFonts w:ascii="Arial" w:cs="Arial" w:eastAsia="Arial" w:hAnsi="Arial"/>
          <w:sz w:val="13"/>
          <w:szCs w:val="13"/>
          <w:i w:val="1"/>
          <w:iCs w:val="1"/>
          <w:color w:val="auto"/>
        </w:rPr>
        <w:t>www.comstockresources.com</w:t>
      </w:r>
      <w:r>
        <w:rPr>
          <w:rFonts w:ascii="Arial" w:cs="Arial" w:eastAsia="Arial" w:hAnsi="Arial"/>
          <w:sz w:val="13"/>
          <w:szCs w:val="13"/>
          <w:color w:val="auto"/>
        </w:rPr>
        <w:t>, and are available upon written request to our Corporate Secretary.</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Determinations of Director Independence</w:t>
      </w:r>
    </w:p>
    <w:p>
      <w:pPr>
        <w:spacing w:after="0" w:line="80" w:lineRule="exact"/>
        <w:rPr>
          <w:sz w:val="20"/>
          <w:szCs w:val="20"/>
          <w:color w:val="auto"/>
        </w:rPr>
      </w:pPr>
    </w:p>
    <w:p>
      <w:pPr>
        <w:jc w:val="both"/>
        <w:ind w:left="8"/>
        <w:spacing w:after="0" w:line="252" w:lineRule="auto"/>
        <w:rPr>
          <w:sz w:val="20"/>
          <w:szCs w:val="20"/>
          <w:color w:val="auto"/>
        </w:rPr>
      </w:pPr>
      <w:r>
        <w:rPr>
          <w:rFonts w:ascii="Arial" w:cs="Arial" w:eastAsia="Arial" w:hAnsi="Arial"/>
          <w:sz w:val="13"/>
          <w:szCs w:val="13"/>
          <w:color w:val="auto"/>
        </w:rPr>
        <w:t>We have elected to maintain a majority of independent directors on our Board. No Board member qualifies as independent unless the Board affirmatively determines that the director has no material relationship with us (either directly, or as a partner, stockholder or officer of an organization that has a relationship with us). In evaluating each director's independence, the Board considers all relevant facts and circumstances, relationships and transactions between each director, his or her family members or any business, charity or other entity in which the director has an interest, on the one hand, and us, our affiliates, or our executives, on the other. As a result of this review, the Board affirmatively determined that among the director nominees, Dr. Davis and Messrs. Foster and Turner are independent from us and our management according to the NYSE's rules. The Board evaluates independence on an on-going basis.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Board of Director Meetings and Committees</w:t>
      </w:r>
    </w:p>
    <w:p>
      <w:pPr>
        <w:spacing w:after="0" w:line="80"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Our Board held five meetings during 2020. We have four standing committees: the audit committee, the compensation committee, the corporate governance/nominating committee and the executive committee. During 2020, the audit committee held five meetings, the compensation committee held four meetings and the corporate governance/nominating committee held one meeting. None of our directors attended fewer than 75% of the Board and their respective committee meetings during 2020. All of our non-employee directors participated in our 2020 annual meeting of stockholders and are encouraged to attend the 2021 Annual Meeting.</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Board Leadership Structure</w:t>
      </w:r>
    </w:p>
    <w:p>
      <w:pPr>
        <w:spacing w:after="0" w:line="80" w:lineRule="exact"/>
        <w:rPr>
          <w:sz w:val="20"/>
          <w:szCs w:val="20"/>
          <w:color w:val="auto"/>
        </w:rPr>
      </w:pPr>
    </w:p>
    <w:p>
      <w:pPr>
        <w:jc w:val="both"/>
        <w:ind w:left="8"/>
        <w:spacing w:after="0" w:line="282" w:lineRule="auto"/>
        <w:rPr>
          <w:sz w:val="20"/>
          <w:szCs w:val="20"/>
          <w:color w:val="auto"/>
        </w:rPr>
      </w:pPr>
      <w:r>
        <w:rPr>
          <w:rFonts w:ascii="Arial" w:cs="Arial" w:eastAsia="Arial" w:hAnsi="Arial"/>
          <w:sz w:val="12"/>
          <w:szCs w:val="12"/>
          <w:color w:val="auto"/>
        </w:rPr>
        <w:t>The position of board chairman is filled by our Chief Executive Officer (the "CEO"). We believe this combined leadership structure is appropriate for us because our Chairman and CEO (i) conveys a singular, cohesive message to our stockholders, employees, industry partners and the investment community, (ii) eliminates any ambiguity as to who is accountable for our performance and (iii) is able to draw on his knowledge of our operations to provide the Board with leadership and properly focus discussions on the issues of greatest importance to the Company and our stockholders. Our directors and management team engage frequently and directly in the flow of information and ideas and we believe our combined leadership structure facilitates the quality, quantity and timeliness of the information flow and communication.</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color w:val="auto"/>
        </w:rPr>
        <w:t>Since our board chairman is also a member of management, our Board has designated Mr. Jim Turner, a non-management director, as "Lead Director." The responsibilities of the Lead Director include:</w:t>
      </w:r>
    </w:p>
    <w:p>
      <w:pPr>
        <w:spacing w:after="0" w:line="87"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Coordinating the scheduling of board meetings and preparation of agenda material for board meetings and executive sessions;</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Defining the scope, quality, quantity and timeliness of the flow of information between management and the Board;</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Chairing all meetings of non-management directors and of the executive committee;</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Overseeing the process of hiring, firing, evaluating and compensating the CEO;</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Approving the retention of consultants who report directly to the Board;</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5"/>
        </w:numPr>
        <w:rPr>
          <w:rFonts w:ascii="Arial" w:cs="Arial" w:eastAsia="Arial" w:hAnsi="Arial"/>
          <w:sz w:val="13"/>
          <w:szCs w:val="13"/>
          <w:color w:val="225CAB"/>
        </w:rPr>
      </w:pPr>
      <w:r>
        <w:rPr>
          <w:rFonts w:ascii="Arial" w:cs="Arial" w:eastAsia="Arial" w:hAnsi="Arial"/>
          <w:sz w:val="13"/>
          <w:szCs w:val="13"/>
          <w:color w:val="auto"/>
        </w:rPr>
        <w:t>Facilitating communication between the directors and the CEO, and communicating the directors' perspectives and consensus view to the CEO;</w:t>
      </w:r>
    </w:p>
    <w:p>
      <w:pPr>
        <w:spacing w:after="0" w:line="200" w:lineRule="exact"/>
        <w:rPr>
          <w:sz w:val="20"/>
          <w:szCs w:val="20"/>
          <w:color w:val="auto"/>
        </w:rPr>
      </w:pP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8"/>
          </w:cols>
          <w:pgMar w:left="292" w:top="131" w:right="299" w:bottom="1440" w:gutter="0" w:footer="0" w:header="0"/>
        </w:sectPr>
      </w:pPr>
    </w:p>
    <w:bookmarkStart w:id="18" w:name="page19"/>
    <w:bookmarkEnd w:id="18"/>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3"/>
          <w:szCs w:val="13"/>
          <w:color w:val="225CAB"/>
        </w:rPr>
      </w:pPr>
      <w:r>
        <w:rPr>
          <w:rFonts w:ascii="Arial" w:cs="Arial" w:eastAsia="Arial" w:hAnsi="Arial"/>
          <w:sz w:val="13"/>
          <w:szCs w:val="13"/>
          <w:color w:val="auto"/>
        </w:rPr>
        <w:t>Assisting the Board and officers in assuring compliance with and implementation of our governance principles;</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6"/>
        </w:numPr>
        <w:rPr>
          <w:rFonts w:ascii="Arial" w:cs="Arial" w:eastAsia="Arial" w:hAnsi="Arial"/>
          <w:sz w:val="13"/>
          <w:szCs w:val="13"/>
          <w:color w:val="225CAB"/>
        </w:rPr>
      </w:pPr>
      <w:r>
        <w:rPr>
          <w:rFonts w:ascii="Arial" w:cs="Arial" w:eastAsia="Arial" w:hAnsi="Arial"/>
          <w:sz w:val="13"/>
          <w:szCs w:val="13"/>
          <w:color w:val="auto"/>
        </w:rPr>
        <w:t>Leading the annual evaluation of the chairman;</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6"/>
        </w:numPr>
        <w:rPr>
          <w:rFonts w:ascii="Arial" w:cs="Arial" w:eastAsia="Arial" w:hAnsi="Arial"/>
          <w:sz w:val="13"/>
          <w:szCs w:val="13"/>
          <w:color w:val="225CAB"/>
        </w:rPr>
      </w:pPr>
      <w:r>
        <w:rPr>
          <w:rFonts w:ascii="Arial" w:cs="Arial" w:eastAsia="Arial" w:hAnsi="Arial"/>
          <w:sz w:val="13"/>
          <w:szCs w:val="13"/>
          <w:color w:val="auto"/>
        </w:rPr>
        <w:t>Serving as an independent point of contact for stockholders wishing to communicate with the Board;</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6"/>
        </w:numPr>
        <w:rPr>
          <w:rFonts w:ascii="Arial" w:cs="Arial" w:eastAsia="Arial" w:hAnsi="Arial"/>
          <w:sz w:val="13"/>
          <w:szCs w:val="13"/>
          <w:color w:val="225CAB"/>
        </w:rPr>
      </w:pPr>
      <w:r>
        <w:rPr>
          <w:rFonts w:ascii="Arial" w:cs="Arial" w:eastAsia="Arial" w:hAnsi="Arial"/>
          <w:sz w:val="13"/>
          <w:szCs w:val="13"/>
          <w:color w:val="auto"/>
        </w:rPr>
        <w:t>Acting as principal liaison between the independent directors and the CEO on sensitive issues; and</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6"/>
        </w:numPr>
        <w:rPr>
          <w:rFonts w:ascii="Arial" w:cs="Arial" w:eastAsia="Arial" w:hAnsi="Arial"/>
          <w:sz w:val="13"/>
          <w:szCs w:val="13"/>
          <w:color w:val="225CAB"/>
        </w:rPr>
      </w:pPr>
      <w:r>
        <w:rPr>
          <w:rFonts w:ascii="Arial" w:cs="Arial" w:eastAsia="Arial" w:hAnsi="Arial"/>
          <w:sz w:val="13"/>
          <w:szCs w:val="13"/>
          <w:color w:val="auto"/>
        </w:rPr>
        <w:t>Leading the Board in anticipating and responding to crises.</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Risk Oversight</w:t>
      </w:r>
    </w:p>
    <w:p>
      <w:pPr>
        <w:spacing w:after="0" w:line="80" w:lineRule="exact"/>
        <w:rPr>
          <w:sz w:val="20"/>
          <w:szCs w:val="20"/>
          <w:color w:val="auto"/>
        </w:rPr>
      </w:pPr>
    </w:p>
    <w:p>
      <w:pPr>
        <w:jc w:val="both"/>
        <w:ind w:left="8"/>
        <w:spacing w:after="0" w:line="278" w:lineRule="auto"/>
        <w:rPr>
          <w:sz w:val="20"/>
          <w:szCs w:val="20"/>
          <w:color w:val="auto"/>
        </w:rPr>
      </w:pPr>
      <w:r>
        <w:rPr>
          <w:rFonts w:ascii="Arial" w:cs="Arial" w:eastAsia="Arial" w:hAnsi="Arial"/>
          <w:sz w:val="12"/>
          <w:szCs w:val="12"/>
          <w:color w:val="auto"/>
        </w:rPr>
        <w:t>One of the responsibilities of the Board, as a whole and through its committees, is to review and evaluate the processes in place to assess the major risks facing our Company and periodically review management's assessment of the major risks as well as options for their mitigation. Our Board leadership structure and our practice of a high degree of interaction between our directors and members of senior management facilitates this oversight function. The information flow and communication throughout the year between our Board and senior management regarding long-term strategic planning and short-term operational reporting includes matters of material risk inherent in our business of exploring for and producing oil and natural gas. Also, our audit committee, among other duties, is charged with overseeing significant financial risk exposures and the steps management has taken to monitor, control and report such exposures and has compliance oversight responsibilities.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Adoption of Written Charters</w:t>
      </w:r>
    </w:p>
    <w:p>
      <w:pPr>
        <w:spacing w:after="0" w:line="80"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3"/>
          <w:szCs w:val="13"/>
          <w:color w:val="auto"/>
        </w:rPr>
        <w:t xml:space="preserve">The Board has in place charters for each of the audit committee, the compensation committee and the corporate governance/nominating committee. A copy of the charter for each committee is available on our website at </w:t>
      </w:r>
      <w:r>
        <w:rPr>
          <w:rFonts w:ascii="Arial" w:cs="Arial" w:eastAsia="Arial" w:hAnsi="Arial"/>
          <w:sz w:val="13"/>
          <w:szCs w:val="13"/>
          <w:i w:val="1"/>
          <w:iCs w:val="1"/>
          <w:color w:val="auto"/>
        </w:rPr>
        <w:t>www.comstockresources.com</w:t>
      </w:r>
      <w:r>
        <w:rPr>
          <w:rFonts w:ascii="Arial" w:cs="Arial" w:eastAsia="Arial" w:hAnsi="Arial"/>
          <w:sz w:val="13"/>
          <w:szCs w:val="13"/>
          <w:color w:val="auto"/>
        </w:rPr>
        <w:t>. The charters of these committees are also available upon written request to our Corporate Secretary.</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Related Party Transactions</w:t>
      </w:r>
    </w:p>
    <w:p>
      <w:pPr>
        <w:spacing w:after="0" w:line="143"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The Board has in place a written policy regarding the approval of related party transactions. At regularly scheduled audit committee meetings, management will recommend any related party transactions that are contemplated, and such transactions will require the audit committee's approval. Generally, a "related party" is each of our executive officers, directors, nominees for director, any stockholder owning greater than five percent of our outstanding shares, including any immediate family member of each of the foregoing, and any entity owned or controlled by any of the foregoing. Transactions that are available to all of our employees generally or totaling less than $5,000 when aggregated with all similar transactions are excluded from the policy.</w:t>
      </w:r>
    </w:p>
    <w:p>
      <w:pPr>
        <w:spacing w:after="0" w:line="114"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With respect to the standards applied by the audit committee when deciding whether to approve a related party transaction, the audit committee shall approve or ratify the transaction if it is on terms believed to be comparable to those that could be obtained in arm's length dealings with an unrelated third party.</w:t>
      </w:r>
    </w:p>
    <w:p>
      <w:pPr>
        <w:spacing w:after="0" w:line="94"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3"/>
          <w:szCs w:val="13"/>
          <w:color w:val="auto"/>
        </w:rPr>
        <w:t>We operate oil and gas properties held by a partnership owned by our majority stockholder. We charge the partnership for the costs incurred to drill, complete and produce the wells, as well as drilling and operating overhead fees that we charge other interest owners. We also provide natural gas marketing services to the partnership, including evaluating potential markets and providing hedging services, in return for a fee equal to $0.02 per Mcf for natural gas marketed. We received $718,000 for operating and marketing services provided to the partnership in 2020.</w:t>
      </w:r>
    </w:p>
    <w:p>
      <w:pPr>
        <w:spacing w:after="0" w:line="112"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3"/>
          <w:szCs w:val="13"/>
          <w:color w:val="auto"/>
        </w:rPr>
        <w:t>In connection with our operation of the wells, we had a $6.2 million receivable from the partnership at December 31, 2020, which was collected in full in 2021. We also had a $2.0 million liability for the fair market value of oil and gas natural gas price hedging contracts that we have entered into with the partnership.</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31" w:right="299" w:bottom="1440" w:gutter="0" w:footer="0" w:header="0"/>
        </w:sectPr>
      </w:pPr>
    </w:p>
    <w:bookmarkStart w:id="19" w:name="page20"/>
    <w:bookmarkEnd w:id="19"/>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Compensation Committee Interlocks and Insider Participation</w:t>
      </w:r>
    </w:p>
    <w:p>
      <w:pPr>
        <w:spacing w:after="0" w:line="80"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3"/>
          <w:szCs w:val="13"/>
          <w:color w:val="auto"/>
        </w:rPr>
        <w:t>Our compensation committee continues to be comprised entirely of independent directors. None of the members of the committee during 2020 or as of the date of this proxy statement is or has been an officer or employee of the Company and no executive officer of the Company has served on the compensation committee or board of directors of any company that employed any member of the Company's compensation committee or the Board.</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Stock Ownership Guidelines</w:t>
      </w:r>
    </w:p>
    <w:p>
      <w:pPr>
        <w:spacing w:after="0" w:line="80"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We have stock ownership requirements for our directors and executive officers. The purpose of the ownership requirements is to further our goal of increasing stockholder value and to align the interests of our directors and key executives with the interests of our stockholders. Satisfaction of the policy requires that individuals attain and retain holdings of our common stock with a cost basis equal to the following multiple of the individual's compensation, defined as either a director's cash retainer fee or an officer's base salary:</w:t>
      </w:r>
    </w:p>
    <w:p>
      <w:pPr>
        <w:spacing w:after="0" w:line="49"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3"/>
          <w:szCs w:val="13"/>
          <w:color w:val="225CAB"/>
        </w:rPr>
      </w:pPr>
      <w:r>
        <w:rPr>
          <w:rFonts w:ascii="Arial" w:cs="Arial" w:eastAsia="Arial" w:hAnsi="Arial"/>
          <w:sz w:val="13"/>
          <w:szCs w:val="13"/>
          <w:color w:val="auto"/>
        </w:rPr>
        <w:t>5x for the CEO and President;</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7"/>
        </w:numPr>
        <w:rPr>
          <w:rFonts w:ascii="Arial" w:cs="Arial" w:eastAsia="Arial" w:hAnsi="Arial"/>
          <w:sz w:val="13"/>
          <w:szCs w:val="13"/>
          <w:color w:val="225CAB"/>
        </w:rPr>
      </w:pPr>
      <w:r>
        <w:rPr>
          <w:rFonts w:ascii="Arial" w:cs="Arial" w:eastAsia="Arial" w:hAnsi="Arial"/>
          <w:sz w:val="13"/>
          <w:szCs w:val="13"/>
          <w:color w:val="auto"/>
        </w:rPr>
        <w:t>5x for non-employee directors; and</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17"/>
        </w:numPr>
        <w:rPr>
          <w:rFonts w:ascii="Arial" w:cs="Arial" w:eastAsia="Arial" w:hAnsi="Arial"/>
          <w:sz w:val="13"/>
          <w:szCs w:val="13"/>
          <w:color w:val="225CAB"/>
        </w:rPr>
      </w:pPr>
      <w:r>
        <w:rPr>
          <w:rFonts w:ascii="Arial" w:cs="Arial" w:eastAsia="Arial" w:hAnsi="Arial"/>
          <w:sz w:val="13"/>
          <w:szCs w:val="13"/>
          <w:color w:val="auto"/>
        </w:rPr>
        <w:t>3x for all other executive officers.</w:t>
      </w:r>
    </w:p>
    <w:p>
      <w:pPr>
        <w:spacing w:after="0" w:line="148"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An individual's cost basis is equal to (1) his or her actual cost, in the case of purchases in the open market, (2) the fair market value of the shares at the date of exercise of stock options or stock appreciation rights, or (3) the fair market value of the shares at the date of vesting of restricted stock, restricted stock units or performance units. Each person's stock ownership requirement will be adjusted annually each January 1 to reflect any changes in his or her retainer or base salary. For the purpose of counting the shares owned, only vested share equivalents under Company-sponsored plans will count as shares owned. Share equivalents will not include any amounts attributable to outstanding unexercised stock options or unvested equity awards.</w:t>
      </w:r>
    </w:p>
    <w:p>
      <w:pPr>
        <w:spacing w:after="0" w:line="123"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Generally, individuals have a five-year period to attain his or her stock ownership requirements. At any time at which the individual's stock ownership requirement has not been met, including during the initial five-year period to attain compliance, the individual will be required to retain at least 50% of "Net Shares" received upon vesting of restricted stock, restricted stock units and performance units. "Net Shares" are defined to include shares of common stock that are owned by the individual after shares are sold, swapped or traded to pay applicable withholding taxes. Subsequent to achieving the initial stock ownership requirement, all directors and executives are required to continuously maintain stock ownership at their specified levels.</w:t>
      </w:r>
    </w:p>
    <w:p>
      <w:pPr>
        <w:spacing w:after="0" w:line="123"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If an individual does not meet the applicable ownership requirements, then he or she is subject to certain restrictions upon the vesting of equity awards, and may only dispose of shares for particular reasons set forth in the policy and upon receipt of permission for the transfer by the Corporate Secretary.</w:t>
      </w:r>
    </w:p>
    <w:p>
      <w:pPr>
        <w:spacing w:after="0" w:line="112"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The policy provides a hardship exemption, for which an individual must submit a request to the Corporate Secretary, who will review the request with the CEO or the chairman of the corporate governance/nominating committee.</w:t>
      </w:r>
    </w:p>
    <w:p>
      <w:pPr>
        <w:spacing w:after="0" w:line="112"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Upon our request, and at least annually, individuals subject to the ownership requirements are required to provide a schedule disclosing the number and cost basis of shares owned. The ownership requirements are administered by the Corporate Secretary. The Board may amend the ownership requirements at its sole discretion. Presently all of our directors and our executive officers have attained or exceeded his or her ownership requirements or are in their initial five-year period under this policy.</w:t>
      </w: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131" w:right="299" w:bottom="1440" w:gutter="0" w:footer="0" w:header="0"/>
        </w:sectPr>
      </w:pPr>
    </w:p>
    <w:bookmarkStart w:id="20" w:name="page21"/>
    <w:bookmarkEnd w:id="20"/>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Hedging Policy</w:t>
      </w:r>
    </w:p>
    <w:p>
      <w:pPr>
        <w:spacing w:after="0" w:line="80"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Our directors, executive officers and employees are prohibited from entering into transactions in puts, calls and other derivative securities with respect to our securities on an exchange or in any other organized market as well as short sales of our securities. These types of transactions can hedge against decreases in our stock price and encourage risky behavior. We believe these activities are often perceived as involving insider trading and may focus the holder's attention on our short-term performance rather than our long-term objectives.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Sustainability</w:t>
      </w:r>
    </w:p>
    <w:p>
      <w:pPr>
        <w:spacing w:after="0" w:line="162" w:lineRule="exact"/>
        <w:rPr>
          <w:sz w:val="20"/>
          <w:szCs w:val="20"/>
          <w:color w:val="auto"/>
        </w:rPr>
      </w:pPr>
    </w:p>
    <w:p>
      <w:pPr>
        <w:jc w:val="both"/>
        <w:ind w:left="8"/>
        <w:spacing w:after="0" w:line="290" w:lineRule="auto"/>
        <w:rPr>
          <w:sz w:val="20"/>
          <w:szCs w:val="20"/>
          <w:color w:val="auto"/>
        </w:rPr>
      </w:pPr>
      <w:r>
        <w:rPr>
          <w:rFonts w:ascii="Arial" w:cs="Arial" w:eastAsia="Arial" w:hAnsi="Arial"/>
          <w:sz w:val="12"/>
          <w:szCs w:val="12"/>
          <w:color w:val="auto"/>
        </w:rPr>
        <w:t>We are focused on developing our significant natural gas resource base to provide our customers a long-term and affordable energy source through the implementation of sustainable and safe business practices while achieving long-term financial returns for our stockholders. In addition, we are committed to conducting our business in a responsible manner that protects the environment along with the health, safety and security of our employees, contractors and the communities where we operate. In addition to our strong corporate governance, some of highlights of our environmental and social initiatives are as follows: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Environmental</w:t>
      </w:r>
    </w:p>
    <w:p>
      <w:pPr>
        <w:spacing w:after="0" w:line="134"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emissions intensity ranking is one of the lowest in the industry given our natural gas focus.</w:t>
      </w:r>
    </w:p>
    <w:p>
      <w:pPr>
        <w:spacing w:after="0" w:line="138" w:lineRule="exact"/>
        <w:rPr>
          <w:rFonts w:ascii="Arial" w:cs="Arial" w:eastAsia="Arial" w:hAnsi="Arial"/>
          <w:sz w:val="13"/>
          <w:szCs w:val="13"/>
          <w:color w:val="auto"/>
        </w:rPr>
      </w:pPr>
    </w:p>
    <w:p>
      <w:pPr>
        <w:ind w:left="208" w:hanging="208"/>
        <w:spacing w:after="0"/>
        <w:tabs>
          <w:tab w:leader="none" w:pos="2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utilize natural gas fueled rigs in our drilling operations. Using cleaner burning natural gas rather than diesel fuel allows us to reduce emissions.</w:t>
      </w:r>
    </w:p>
    <w:p>
      <w:pPr>
        <w:spacing w:after="0" w:line="138" w:lineRule="exact"/>
        <w:rPr>
          <w:rFonts w:ascii="Arial" w:cs="Arial" w:eastAsia="Arial" w:hAnsi="Arial"/>
          <w:sz w:val="13"/>
          <w:szCs w:val="13"/>
          <w:color w:val="auto"/>
        </w:rPr>
      </w:pPr>
    </w:p>
    <w:p>
      <w:pPr>
        <w:ind w:left="208" w:hanging="208"/>
        <w:spacing w:after="0"/>
        <w:tabs>
          <w:tab w:leader="none" w:pos="2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active leak detection and repair program uses optical gas imaging technology to detect leaks so they are repaired immediately.</w:t>
      </w:r>
    </w:p>
    <w:p>
      <w:pPr>
        <w:spacing w:after="0" w:line="129" w:lineRule="exact"/>
        <w:rPr>
          <w:rFonts w:ascii="Arial" w:cs="Arial" w:eastAsia="Arial" w:hAnsi="Arial"/>
          <w:sz w:val="13"/>
          <w:szCs w:val="13"/>
          <w:color w:val="auto"/>
        </w:rPr>
      </w:pPr>
    </w:p>
    <w:p>
      <w:pPr>
        <w:ind w:left="208" w:hanging="208"/>
        <w:spacing w:after="0"/>
        <w:tabs>
          <w:tab w:leader="none" w:pos="2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have improved our completion designs to reduce our freshwater use volumes for hydraulic fracturing by approximately 30%.</w:t>
      </w:r>
    </w:p>
    <w:p>
      <w:pPr>
        <w:spacing w:after="0" w:line="138" w:lineRule="exact"/>
        <w:rPr>
          <w:rFonts w:ascii="Arial" w:cs="Arial" w:eastAsia="Arial" w:hAnsi="Arial"/>
          <w:sz w:val="13"/>
          <w:szCs w:val="13"/>
          <w:color w:val="auto"/>
        </w:rPr>
      </w:pPr>
    </w:p>
    <w:p>
      <w:pPr>
        <w:ind w:left="208" w:hanging="208"/>
        <w:spacing w:after="0"/>
        <w:tabs>
          <w:tab w:leader="none" w:pos="208"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utilize multi-well pad locations and strive to extend the lateral lengths of our wells to minimize our above-ground footprint.</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Social</w:t>
      </w:r>
    </w:p>
    <w:p>
      <w:pPr>
        <w:spacing w:after="0" w:line="134" w:lineRule="exact"/>
        <w:rPr>
          <w:sz w:val="20"/>
          <w:szCs w:val="20"/>
          <w:color w:val="auto"/>
        </w:rPr>
      </w:pPr>
    </w:p>
    <w:p>
      <w:pPr>
        <w:ind w:left="208" w:right="20" w:hanging="208"/>
        <w:spacing w:after="0" w:line="271" w:lineRule="auto"/>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employee health and safety management system is designed to achieve our goals of operational excellence and maintaining an injury-free workplace. Components include intensive employee training, periodic audits and inspection and scorecards to measure our success.</w:t>
      </w:r>
    </w:p>
    <w:p>
      <w:pPr>
        <w:spacing w:after="0" w:line="103" w:lineRule="exact"/>
        <w:rPr>
          <w:rFonts w:ascii="Arial" w:cs="Arial" w:eastAsia="Arial" w:hAnsi="Arial"/>
          <w:sz w:val="13"/>
          <w:szCs w:val="13"/>
          <w:color w:val="auto"/>
        </w:rPr>
      </w:pPr>
    </w:p>
    <w:p>
      <w:pPr>
        <w:ind w:left="208" w:hanging="208"/>
        <w:spacing w:after="0" w:line="271" w:lineRule="auto"/>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hold our contractors accountable to the highest performance standards for employee safety programs and policies and procedures, including training, and we monitor compliance with a third party management service.</w:t>
      </w:r>
    </w:p>
    <w:p>
      <w:pPr>
        <w:spacing w:after="0" w:line="103" w:lineRule="exact"/>
        <w:rPr>
          <w:rFonts w:ascii="Arial" w:cs="Arial" w:eastAsia="Arial" w:hAnsi="Arial"/>
          <w:sz w:val="13"/>
          <w:szCs w:val="13"/>
          <w:color w:val="auto"/>
        </w:rPr>
      </w:pPr>
    </w:p>
    <w:p>
      <w:pPr>
        <w:ind w:left="208" w:hanging="208"/>
        <w:spacing w:after="0"/>
        <w:tabs>
          <w:tab w:leader="none" w:pos="208"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OSHA total recordable incident rate was 0.00 in 2018 and 2019 and 0.45 in 2020.</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Additional information on our environmental, social and governance initiatives can be found in the "Sustainability" section of our website at </w:t>
      </w:r>
      <w:r>
        <w:rPr>
          <w:rFonts w:ascii="Arial" w:cs="Arial" w:eastAsia="Arial" w:hAnsi="Arial"/>
          <w:sz w:val="13"/>
          <w:szCs w:val="13"/>
          <w:i w:val="1"/>
          <w:iCs w:val="1"/>
          <w:color w:val="auto"/>
        </w:rPr>
        <w:t>www.comstockresources.com</w:t>
      </w:r>
      <w:r>
        <w:rPr>
          <w:rFonts w:ascii="Arial" w:cs="Arial" w:eastAsia="Arial" w:hAnsi="Arial"/>
          <w:sz w:val="13"/>
          <w:szCs w:val="13"/>
          <w:color w:val="auto"/>
        </w:rPr>
        <w: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The Board of Directors and its Committees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Board Responsibilities</w:t>
      </w:r>
    </w:p>
    <w:p>
      <w:pPr>
        <w:spacing w:after="0" w:line="80" w:lineRule="exact"/>
        <w:rPr>
          <w:sz w:val="20"/>
          <w:szCs w:val="20"/>
          <w:color w:val="auto"/>
        </w:rPr>
      </w:pPr>
    </w:p>
    <w:p>
      <w:pPr>
        <w:ind w:left="8" w:right="20"/>
        <w:spacing w:after="0" w:line="271" w:lineRule="auto"/>
        <w:rPr>
          <w:sz w:val="20"/>
          <w:szCs w:val="20"/>
          <w:color w:val="auto"/>
        </w:rPr>
      </w:pPr>
      <w:r>
        <w:rPr>
          <w:rFonts w:ascii="Arial" w:cs="Arial" w:eastAsia="Arial" w:hAnsi="Arial"/>
          <w:sz w:val="13"/>
          <w:szCs w:val="13"/>
          <w:color w:val="auto"/>
        </w:rPr>
        <w:t>The primary responsibility of the Board is to exercise governance over the affairs of the Company and to establish delegations of authority to the Company's management. It is also the Board's responsibility, as a whole and through</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its committees, to provide oversight, counseling and direction to the Company's management from the perspective of the long-term interests of the Company and its stockholders. The Board's and its committees' responsibilities include: (a) reviewing and approving the Company's major financial objectives and strategic and operating plans and actions; (b) overseeing the conduct of the Company's business to evaluate whether it is being properly managed; (c) regularly evaluating the performance of the CEO; (d) planning for succession with respect to the position of CEO and monitoring management's succession planning for other senior executives; (e) setting the compensation of the Company's executive officers; (f) overseeing the processes for maintaining the Company's integrity with regard to its financial statements and other public disclosures; and (g) overseeing the Company's compliance with laws and ethics as well as the Company's compliance programs and policies.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Board has instructed the CEO, working with the Company's other executive officers, to manage the Company's business in a manner consistent with all applicable laws and regulations, the Company's standards and practices, and in accordance with any specific plans, instructions or directions of the Board. The CEO and management are responsible for seeking the advice and, in appropriate situations, the approval of the Board with respect to extraordinary actions to be undertaken by the Company.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directors monitor the Company's business and affairs through Board and board committee meetings, background and informational materials, presentations provided to them on a regular basis, and meetings with our officers and employees.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Board Committees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executive committee, the Board has three committees which are each composed entirely of our independent directors. Membership of these committees is as follows: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2500" w:type="dxa"/>
            <w:vAlign w:val="bottom"/>
            <w:tcBorders>
              <w:top w:val="single" w:sz="8" w:color="auto"/>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1"/>
                <w:szCs w:val="11"/>
                <w:b w:val="1"/>
                <w:bCs w:val="1"/>
                <w:color w:val="auto"/>
              </w:rPr>
              <w:t>Audit</w:t>
            </w:r>
          </w:p>
        </w:tc>
        <w:tc>
          <w:tcPr>
            <w:tcW w:w="3600" w:type="dxa"/>
            <w:vAlign w:val="bottom"/>
            <w:tcBorders>
              <w:top w:val="single" w:sz="8" w:color="auto"/>
              <w:bottom w:val="single" w:sz="8" w:color="auto"/>
            </w:tcBorders>
            <w:shd w:val="clear" w:color="auto" w:fill="D9E1F2"/>
          </w:tcPr>
          <w:p>
            <w:pPr>
              <w:ind w:left="1140"/>
              <w:spacing w:after="0"/>
              <w:rPr>
                <w:sz w:val="20"/>
                <w:szCs w:val="20"/>
                <w:color w:val="auto"/>
              </w:rPr>
            </w:pPr>
            <w:r>
              <w:rPr>
                <w:rFonts w:ascii="Arial" w:cs="Arial" w:eastAsia="Arial" w:hAnsi="Arial"/>
                <w:sz w:val="11"/>
                <w:szCs w:val="11"/>
                <w:b w:val="1"/>
                <w:bCs w:val="1"/>
                <w:color w:val="auto"/>
              </w:rPr>
              <w:t>Compensation</w:t>
            </w:r>
          </w:p>
        </w:tc>
        <w:tc>
          <w:tcPr>
            <w:tcW w:w="5220" w:type="dxa"/>
            <w:vAlign w:val="bottom"/>
            <w:tcBorders>
              <w:top w:val="single" w:sz="8" w:color="auto"/>
              <w:bottom w:val="single" w:sz="8" w:color="auto"/>
              <w:right w:val="single" w:sz="8" w:color="auto"/>
            </w:tcBorders>
            <w:shd w:val="clear" w:color="auto" w:fill="D9E1F2"/>
          </w:tcPr>
          <w:p>
            <w:pPr>
              <w:ind w:left="1380"/>
              <w:spacing w:after="0"/>
              <w:rPr>
                <w:sz w:val="20"/>
                <w:szCs w:val="20"/>
                <w:color w:val="auto"/>
              </w:rPr>
            </w:pPr>
            <w:r>
              <w:rPr>
                <w:rFonts w:ascii="Arial" w:cs="Arial" w:eastAsia="Arial" w:hAnsi="Arial"/>
                <w:sz w:val="11"/>
                <w:szCs w:val="11"/>
                <w:b w:val="1"/>
                <w:bCs w:val="1"/>
                <w:color w:val="auto"/>
              </w:rPr>
              <w:t>Corporate Governance/Nominating</w:t>
            </w:r>
          </w:p>
        </w:tc>
      </w:tr>
      <w:tr>
        <w:trPr>
          <w:trHeight w:val="151"/>
        </w:trPr>
        <w:tc>
          <w:tcPr>
            <w:tcW w:w="25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Elizabeth B. Davis, Chair</w:t>
            </w:r>
          </w:p>
        </w:tc>
        <w:tc>
          <w:tcPr>
            <w:tcW w:w="3600" w:type="dxa"/>
            <w:vAlign w:val="bottom"/>
          </w:tcPr>
          <w:p>
            <w:pPr>
              <w:ind w:left="1140"/>
              <w:spacing w:after="0"/>
              <w:rPr>
                <w:sz w:val="20"/>
                <w:szCs w:val="20"/>
                <w:color w:val="auto"/>
              </w:rPr>
            </w:pPr>
            <w:r>
              <w:rPr>
                <w:rFonts w:ascii="Arial" w:cs="Arial" w:eastAsia="Arial" w:hAnsi="Arial"/>
                <w:sz w:val="13"/>
                <w:szCs w:val="13"/>
                <w:color w:val="auto"/>
              </w:rPr>
              <w:t>Jim L. Turner, Chair</w:t>
            </w:r>
          </w:p>
        </w:tc>
        <w:tc>
          <w:tcPr>
            <w:tcW w:w="5220" w:type="dxa"/>
            <w:vAlign w:val="bottom"/>
            <w:tcBorders>
              <w:right w:val="single" w:sz="8" w:color="auto"/>
            </w:tcBorders>
          </w:tcPr>
          <w:p>
            <w:pPr>
              <w:ind w:left="1380"/>
              <w:spacing w:after="0"/>
              <w:rPr>
                <w:sz w:val="20"/>
                <w:szCs w:val="20"/>
                <w:color w:val="auto"/>
              </w:rPr>
            </w:pPr>
            <w:r>
              <w:rPr>
                <w:rFonts w:ascii="Arial" w:cs="Arial" w:eastAsia="Arial" w:hAnsi="Arial"/>
                <w:sz w:val="13"/>
                <w:szCs w:val="13"/>
                <w:color w:val="auto"/>
              </w:rPr>
              <w:t>Morris E. Foster, Chair</w:t>
            </w:r>
          </w:p>
        </w:tc>
      </w:tr>
      <w:tr>
        <w:trPr>
          <w:trHeight w:val="162"/>
        </w:trPr>
        <w:tc>
          <w:tcPr>
            <w:tcW w:w="25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Morris E. Foster</w:t>
            </w:r>
          </w:p>
        </w:tc>
        <w:tc>
          <w:tcPr>
            <w:tcW w:w="3600" w:type="dxa"/>
            <w:vAlign w:val="bottom"/>
          </w:tcPr>
          <w:p>
            <w:pPr>
              <w:ind w:left="1140"/>
              <w:spacing w:after="0"/>
              <w:rPr>
                <w:sz w:val="20"/>
                <w:szCs w:val="20"/>
                <w:color w:val="auto"/>
              </w:rPr>
            </w:pPr>
            <w:r>
              <w:rPr>
                <w:rFonts w:ascii="Arial" w:cs="Arial" w:eastAsia="Arial" w:hAnsi="Arial"/>
                <w:sz w:val="13"/>
                <w:szCs w:val="13"/>
                <w:color w:val="auto"/>
              </w:rPr>
              <w:t>Elizabeth B. Davis</w:t>
            </w:r>
          </w:p>
        </w:tc>
        <w:tc>
          <w:tcPr>
            <w:tcW w:w="5220" w:type="dxa"/>
            <w:vAlign w:val="bottom"/>
            <w:tcBorders>
              <w:right w:val="single" w:sz="8" w:color="auto"/>
            </w:tcBorders>
          </w:tcPr>
          <w:p>
            <w:pPr>
              <w:ind w:left="1380"/>
              <w:spacing w:after="0"/>
              <w:rPr>
                <w:sz w:val="20"/>
                <w:szCs w:val="20"/>
                <w:color w:val="auto"/>
              </w:rPr>
            </w:pPr>
            <w:r>
              <w:rPr>
                <w:rFonts w:ascii="Arial" w:cs="Arial" w:eastAsia="Arial" w:hAnsi="Arial"/>
                <w:sz w:val="13"/>
                <w:szCs w:val="13"/>
                <w:color w:val="auto"/>
              </w:rPr>
              <w:t>Elizabeth B. Davis</w:t>
            </w:r>
          </w:p>
        </w:tc>
      </w:tr>
      <w:tr>
        <w:trPr>
          <w:trHeight w:val="164"/>
        </w:trPr>
        <w:tc>
          <w:tcPr>
            <w:tcW w:w="2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Jim L. Turner</w:t>
            </w:r>
          </w:p>
        </w:tc>
        <w:tc>
          <w:tcPr>
            <w:tcW w:w="3600" w:type="dxa"/>
            <w:vAlign w:val="bottom"/>
            <w:tcBorders>
              <w:bottom w:val="single" w:sz="8" w:color="auto"/>
            </w:tcBorders>
          </w:tcPr>
          <w:p>
            <w:pPr>
              <w:ind w:left="1140"/>
              <w:spacing w:after="0"/>
              <w:rPr>
                <w:sz w:val="20"/>
                <w:szCs w:val="20"/>
                <w:color w:val="auto"/>
              </w:rPr>
            </w:pPr>
            <w:r>
              <w:rPr>
                <w:rFonts w:ascii="Arial" w:cs="Arial" w:eastAsia="Arial" w:hAnsi="Arial"/>
                <w:sz w:val="13"/>
                <w:szCs w:val="13"/>
                <w:color w:val="auto"/>
              </w:rPr>
              <w:t>Morris E. Foster</w:t>
            </w:r>
          </w:p>
        </w:tc>
        <w:tc>
          <w:tcPr>
            <w:tcW w:w="522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3"/>
                <w:szCs w:val="13"/>
                <w:color w:val="auto"/>
              </w:rPr>
              <w:t>Jim L. Turner</w:t>
            </w:r>
          </w:p>
        </w:tc>
      </w:tr>
    </w:tbl>
    <w:p>
      <w:pPr>
        <w:spacing w:after="0" w:line="196"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 xml:space="preserve">Each of these committees operates pursuant to a written charter which can be found in the "Corporate Governance" section of our website at </w:t>
      </w:r>
      <w:r>
        <w:rPr>
          <w:rFonts w:ascii="Arial" w:cs="Arial" w:eastAsia="Arial" w:hAnsi="Arial"/>
          <w:sz w:val="12"/>
          <w:szCs w:val="12"/>
          <w:i w:val="1"/>
          <w:iCs w:val="1"/>
          <w:color w:val="auto"/>
        </w:rPr>
        <w:t>www.comstockresources.com</w:t>
      </w:r>
      <w:r>
        <w:rPr>
          <w:rFonts w:ascii="Arial" w:cs="Arial" w:eastAsia="Arial" w:hAnsi="Arial"/>
          <w:sz w:val="12"/>
          <w:szCs w:val="12"/>
          <w:color w:val="auto"/>
        </w:rPr>
        <w:t>. As stated earlier, documents and information on our website are not incorporated herein by reference. These documents are also available in print from the Corporate Secretary, 5300 Town and Country Blvd., Suite 500, Frisco, Texas 75034.</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audit committee reviews and approves our financial statements and earnings releases, oversees the internal audit function and reviews the Company's internal accounting controls. The audit committee oversees the implementation of the Company's compliance policies and programs relating to our financial statements and monitors ongoing compliance matters and concerns. The audit committee also reviews related party transactions. The audit committee has the sole authority to appoint, review and discharge our independent registered public accountants. The Report of the Audit Committee begins on page 19 of this proxy statement.</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compensation committee is responsible for overseeing and approving our compensation programs including our non-employee director compensation program. It is also responsible for reviewing and approving the compensation plans and decisions for all executive officers. It also oversees and regularly reviews the compensation program for all our employees and supervises all compensation and benefits policies and plans. The compensation committee frequently meets in executive sessions to discuss and approve compensation plans and decisions. The compensation committee is assisted in these matters by an independent compensation consultant, hired by and serving at the pleasure of the committee. A description of the committee's role in determining executive compensation, including the CEO's compensation, and its use of an independent compensation consultant, is contained in "Executive Compensation—Compensation Discussion and Analysis," which appears on pages 21-34 of this proxy statement. A description of the committee's role in determining non-employee director compensation is contained in "Director Compensation," which appears on page 17 of this proxy statement.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31" w:right="299" w:bottom="1440" w:gutter="0" w:footer="0" w:header="0"/>
        </w:sectPr>
      </w:pPr>
    </w:p>
    <w:bookmarkStart w:id="22" w:name="page23"/>
    <w:bookmarkEnd w:id="22"/>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The corporate governance/nominating committee is responsible for developing, overseeing, reviewing and monitoring compliance with the Company's policies, programs and practices relating to corporate governance, including our corporate governance guidelines, and for evaluating and monitoring compliance with our policies, and making recommendations to the Board on various governance issues. The committee is also responsible for reviewing and recommending to the Board director nominees, recommending committee assignments and conducting an annual review of Board and committee effectiveness. The process for evaluating and nominating director nominees is described in "Director Selection Process" on page 8 of this proxy statement.</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Director Compensation</w:t>
      </w:r>
    </w:p>
    <w:p>
      <w:pPr>
        <w:spacing w:after="0" w:line="90" w:lineRule="exact"/>
        <w:rPr>
          <w:sz w:val="20"/>
          <w:szCs w:val="20"/>
          <w:color w:val="auto"/>
        </w:rPr>
      </w:pPr>
    </w:p>
    <w:p>
      <w:pPr>
        <w:jc w:val="both"/>
        <w:ind w:left="8"/>
        <w:spacing w:after="0" w:line="252" w:lineRule="auto"/>
        <w:rPr>
          <w:sz w:val="20"/>
          <w:szCs w:val="20"/>
          <w:color w:val="auto"/>
        </w:rPr>
      </w:pPr>
      <w:r>
        <w:rPr>
          <w:rFonts w:ascii="Arial" w:cs="Arial" w:eastAsia="Arial" w:hAnsi="Arial"/>
          <w:sz w:val="13"/>
          <w:szCs w:val="13"/>
          <w:color w:val="auto"/>
        </w:rPr>
        <w:t>The compensation program for our non-employee directors has been developed by the compensation committee after consideration of the recommendations and competitive market data provided by its independent compensation consultant. In setting non-employee director compensation, the compensation committee considers the significant amount of time that our directors spend satisfying their duties to the Company and our stockholders, as well as the skill level required by our directors. Employee directors receive no additional compensation for serving on our Board. Independent directors receive an annual retainer of $83,000 and an equity grant with a value of $125,000. The committee chairman receives an additional annual retainer of $31,500, $20,750 and $12,500 for the audit, compensation and corporate governance/nominating committees, respectively. The Lead Director also receives an additional $37,000 annual retainer.</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the compensation of our non-employee directors for services during 2020:</w:t>
      </w:r>
    </w:p>
    <w:p>
      <w:pPr>
        <w:spacing w:after="0" w:line="156" w:lineRule="exact"/>
        <w:rPr>
          <w:sz w:val="20"/>
          <w:szCs w:val="20"/>
          <w:color w:val="auto"/>
        </w:rPr>
      </w:pPr>
    </w:p>
    <w:tbl>
      <w:tblPr>
        <w:tblLayout w:type="fixed"/>
        <w:tblInd w:w="18" w:type="dxa"/>
        <w:tblCellMar>
          <w:top w:w="0" w:type="dxa"/>
          <w:left w:w="0" w:type="dxa"/>
          <w:bottom w:w="0" w:type="dxa"/>
          <w:right w:w="0" w:type="dxa"/>
        </w:tblCellMar>
      </w:tblPr>
      <w:tr>
        <w:trPr>
          <w:trHeight w:val="149"/>
        </w:trPr>
        <w:tc>
          <w:tcPr>
            <w:tcW w:w="5220" w:type="dxa"/>
            <w:vAlign w:val="bottom"/>
            <w:tcBorders>
              <w:top w:val="single" w:sz="8" w:color="auto"/>
              <w:left w:val="single" w:sz="8" w:color="auto"/>
              <w:bottom w:val="single" w:sz="8" w:color="D9E1F2"/>
            </w:tcBorders>
            <w:shd w:val="clear" w:color="auto" w:fill="D9E1F2"/>
          </w:tcPr>
          <w:p>
            <w:pPr>
              <w:spacing w:after="0"/>
              <w:rPr>
                <w:sz w:val="12"/>
                <w:szCs w:val="12"/>
                <w:color w:val="auto"/>
              </w:rPr>
            </w:pPr>
          </w:p>
        </w:tc>
        <w:tc>
          <w:tcPr>
            <w:tcW w:w="180" w:type="dxa"/>
            <w:vAlign w:val="bottom"/>
            <w:tcBorders>
              <w:top w:val="single" w:sz="8" w:color="auto"/>
              <w:bottom w:val="single" w:sz="8" w:color="D9E1F2"/>
            </w:tcBorders>
            <w:shd w:val="clear" w:color="auto" w:fill="D9E1F2"/>
          </w:tcPr>
          <w:p>
            <w:pPr>
              <w:spacing w:after="0"/>
              <w:rPr>
                <w:sz w:val="12"/>
                <w:szCs w:val="12"/>
                <w:color w:val="auto"/>
              </w:rPr>
            </w:pPr>
          </w:p>
        </w:tc>
        <w:tc>
          <w:tcPr>
            <w:tcW w:w="940" w:type="dxa"/>
            <w:vAlign w:val="bottom"/>
            <w:tcBorders>
              <w:top w:val="single" w:sz="8" w:color="auto"/>
              <w:bottom w:val="single" w:sz="8" w:color="D9E1F2"/>
            </w:tcBorders>
            <w:shd w:val="clear" w:color="auto" w:fill="D9E1F2"/>
          </w:tcPr>
          <w:p>
            <w:pPr>
              <w:spacing w:after="0"/>
              <w:rPr>
                <w:sz w:val="12"/>
                <w:szCs w:val="12"/>
                <w:color w:val="auto"/>
              </w:rPr>
            </w:pPr>
          </w:p>
        </w:tc>
        <w:tc>
          <w:tcPr>
            <w:tcW w:w="1340" w:type="dxa"/>
            <w:vAlign w:val="bottom"/>
            <w:tcBorders>
              <w:top w:val="single" w:sz="8" w:color="auto"/>
              <w:bottom w:val="single" w:sz="8" w:color="auto"/>
            </w:tcBorders>
            <w:shd w:val="clear" w:color="auto" w:fill="D9E1F2"/>
          </w:tcPr>
          <w:p>
            <w:pPr>
              <w:spacing w:after="0"/>
              <w:rPr>
                <w:sz w:val="12"/>
                <w:szCs w:val="12"/>
                <w:color w:val="auto"/>
              </w:rPr>
            </w:pPr>
          </w:p>
        </w:tc>
        <w:tc>
          <w:tcPr>
            <w:tcW w:w="1240" w:type="dxa"/>
            <w:vAlign w:val="bottom"/>
            <w:tcBorders>
              <w:top w:val="single" w:sz="8" w:color="auto"/>
              <w:bottom w:val="single" w:sz="8" w:color="auto"/>
            </w:tcBorders>
            <w:shd w:val="clear" w:color="auto" w:fill="D9E1F2"/>
          </w:tcPr>
          <w:p>
            <w:pPr>
              <w:ind w:left="240"/>
              <w:spacing w:after="0"/>
              <w:rPr>
                <w:sz w:val="20"/>
                <w:szCs w:val="20"/>
                <w:color w:val="auto"/>
              </w:rPr>
            </w:pPr>
            <w:r>
              <w:rPr>
                <w:rFonts w:ascii="Arial" w:cs="Arial" w:eastAsia="Arial" w:hAnsi="Arial"/>
                <w:sz w:val="11"/>
                <w:szCs w:val="11"/>
                <w:b w:val="1"/>
                <w:bCs w:val="1"/>
                <w:color w:val="auto"/>
              </w:rPr>
              <w:t>Equity Awards</w:t>
            </w:r>
          </w:p>
        </w:tc>
        <w:tc>
          <w:tcPr>
            <w:tcW w:w="320" w:type="dxa"/>
            <w:vAlign w:val="bottom"/>
            <w:tcBorders>
              <w:top w:val="single" w:sz="8" w:color="auto"/>
              <w:bottom w:val="single" w:sz="8" w:color="auto"/>
            </w:tcBorders>
            <w:shd w:val="clear" w:color="auto" w:fill="D9E1F2"/>
          </w:tcPr>
          <w:p>
            <w:pPr>
              <w:spacing w:after="0"/>
              <w:rPr>
                <w:sz w:val="12"/>
                <w:szCs w:val="12"/>
                <w:color w:val="auto"/>
              </w:rPr>
            </w:pPr>
          </w:p>
        </w:tc>
        <w:tc>
          <w:tcPr>
            <w:tcW w:w="940" w:type="dxa"/>
            <w:vAlign w:val="bottom"/>
            <w:tcBorders>
              <w:top w:val="single" w:sz="8" w:color="auto"/>
              <w:bottom w:val="single" w:sz="8" w:color="auto"/>
            </w:tcBorders>
            <w:shd w:val="clear" w:color="auto" w:fill="D9E1F2"/>
          </w:tcPr>
          <w:p>
            <w:pPr>
              <w:spacing w:after="0"/>
              <w:rPr>
                <w:sz w:val="12"/>
                <w:szCs w:val="12"/>
                <w:color w:val="auto"/>
              </w:rPr>
            </w:pPr>
          </w:p>
        </w:tc>
        <w:tc>
          <w:tcPr>
            <w:tcW w:w="260" w:type="dxa"/>
            <w:vAlign w:val="bottom"/>
            <w:tcBorders>
              <w:top w:val="single" w:sz="8" w:color="auto"/>
              <w:bottom w:val="single" w:sz="8" w:color="D9E1F2"/>
            </w:tcBorders>
            <w:shd w:val="clear" w:color="auto" w:fill="D9E1F2"/>
          </w:tcPr>
          <w:p>
            <w:pPr>
              <w:spacing w:after="0"/>
              <w:rPr>
                <w:sz w:val="12"/>
                <w:szCs w:val="12"/>
                <w:color w:val="auto"/>
              </w:rPr>
            </w:pPr>
          </w:p>
        </w:tc>
        <w:tc>
          <w:tcPr>
            <w:tcW w:w="880" w:type="dxa"/>
            <w:vAlign w:val="bottom"/>
            <w:tcBorders>
              <w:top w:val="single" w:sz="8" w:color="auto"/>
              <w:bottom w:val="single" w:sz="8" w:color="D9E1F2"/>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220" w:type="dxa"/>
            <w:vAlign w:val="bottom"/>
            <w:tcBorders>
              <w:left w:val="single" w:sz="8" w:color="auto"/>
            </w:tcBorders>
            <w:shd w:val="clear" w:color="auto" w:fill="D9E1F2"/>
          </w:tcPr>
          <w:p>
            <w:pPr>
              <w:spacing w:after="0"/>
              <w:rPr>
                <w:sz w:val="8"/>
                <w:szCs w:val="8"/>
                <w:color w:val="auto"/>
              </w:rPr>
            </w:pPr>
          </w:p>
        </w:tc>
        <w:tc>
          <w:tcPr>
            <w:tcW w:w="180" w:type="dxa"/>
            <w:vAlign w:val="bottom"/>
            <w:shd w:val="clear" w:color="auto" w:fill="D9E1F2"/>
          </w:tcPr>
          <w:p>
            <w:pPr>
              <w:spacing w:after="0"/>
              <w:rPr>
                <w:sz w:val="8"/>
                <w:szCs w:val="8"/>
                <w:color w:val="auto"/>
              </w:rPr>
            </w:pPr>
          </w:p>
        </w:tc>
        <w:tc>
          <w:tcPr>
            <w:tcW w:w="940" w:type="dxa"/>
            <w:vAlign w:val="bottom"/>
            <w:shd w:val="clear" w:color="auto" w:fill="D9E1F2"/>
          </w:tcPr>
          <w:p>
            <w:pPr>
              <w:jc w:val="center"/>
              <w:ind w:right="142"/>
              <w:spacing w:after="0" w:line="101" w:lineRule="exact"/>
              <w:rPr>
                <w:sz w:val="20"/>
                <w:szCs w:val="20"/>
                <w:color w:val="auto"/>
              </w:rPr>
            </w:pPr>
            <w:r>
              <w:rPr>
                <w:rFonts w:ascii="Arial" w:cs="Arial" w:eastAsia="Arial" w:hAnsi="Arial"/>
                <w:sz w:val="11"/>
                <w:szCs w:val="11"/>
                <w:b w:val="1"/>
                <w:bCs w:val="1"/>
                <w:color w:val="auto"/>
                <w:w w:val="88"/>
              </w:rPr>
              <w:t>Fees Earned</w:t>
            </w:r>
          </w:p>
        </w:tc>
        <w:tc>
          <w:tcPr>
            <w:tcW w:w="1340" w:type="dxa"/>
            <w:vAlign w:val="bottom"/>
            <w:shd w:val="clear" w:color="auto" w:fill="D9E1F2"/>
          </w:tcPr>
          <w:p>
            <w:pPr>
              <w:spacing w:after="0"/>
              <w:rPr>
                <w:sz w:val="8"/>
                <w:szCs w:val="8"/>
                <w:color w:val="auto"/>
              </w:rPr>
            </w:pPr>
          </w:p>
        </w:tc>
        <w:tc>
          <w:tcPr>
            <w:tcW w:w="1240" w:type="dxa"/>
            <w:vAlign w:val="bottom"/>
            <w:shd w:val="clear" w:color="auto" w:fill="D9E1F2"/>
          </w:tcPr>
          <w:p>
            <w:pPr>
              <w:jc w:val="center"/>
              <w:ind w:left="363"/>
              <w:spacing w:after="0" w:line="101" w:lineRule="exact"/>
              <w:rPr>
                <w:sz w:val="20"/>
                <w:szCs w:val="20"/>
                <w:color w:val="auto"/>
              </w:rPr>
            </w:pPr>
            <w:r>
              <w:rPr>
                <w:rFonts w:ascii="Arial" w:cs="Arial" w:eastAsia="Arial" w:hAnsi="Arial"/>
                <w:sz w:val="11"/>
                <w:szCs w:val="11"/>
                <w:b w:val="1"/>
                <w:bCs w:val="1"/>
                <w:color w:val="auto"/>
                <w:w w:val="90"/>
              </w:rPr>
              <w:t>Number of</w:t>
            </w:r>
          </w:p>
        </w:tc>
        <w:tc>
          <w:tcPr>
            <w:tcW w:w="320" w:type="dxa"/>
            <w:vAlign w:val="bottom"/>
            <w:shd w:val="clear" w:color="auto" w:fill="D9E1F2"/>
          </w:tcPr>
          <w:p>
            <w:pPr>
              <w:spacing w:after="0"/>
              <w:rPr>
                <w:sz w:val="8"/>
                <w:szCs w:val="8"/>
                <w:color w:val="auto"/>
              </w:rPr>
            </w:pPr>
          </w:p>
        </w:tc>
        <w:tc>
          <w:tcPr>
            <w:tcW w:w="940" w:type="dxa"/>
            <w:vAlign w:val="bottom"/>
            <w:vMerge w:val="restart"/>
            <w:shd w:val="clear" w:color="auto" w:fill="D9E1F2"/>
          </w:tcPr>
          <w:p>
            <w:pPr>
              <w:jc w:val="right"/>
              <w:ind w:right="242"/>
              <w:spacing w:after="0"/>
              <w:rPr>
                <w:sz w:val="20"/>
                <w:szCs w:val="20"/>
                <w:color w:val="auto"/>
              </w:rPr>
            </w:pPr>
            <w:r>
              <w:rPr>
                <w:rFonts w:ascii="Arial" w:cs="Arial" w:eastAsia="Arial" w:hAnsi="Arial"/>
                <w:sz w:val="11"/>
                <w:szCs w:val="11"/>
                <w:b w:val="1"/>
                <w:bCs w:val="1"/>
                <w:color w:val="auto"/>
              </w:rPr>
              <w:t>Grant Date</w:t>
            </w:r>
          </w:p>
        </w:tc>
        <w:tc>
          <w:tcPr>
            <w:tcW w:w="260" w:type="dxa"/>
            <w:vAlign w:val="bottom"/>
            <w:shd w:val="clear" w:color="auto" w:fill="D9E1F2"/>
          </w:tcPr>
          <w:p>
            <w:pPr>
              <w:spacing w:after="0"/>
              <w:rPr>
                <w:sz w:val="8"/>
                <w:szCs w:val="8"/>
                <w:color w:val="auto"/>
              </w:rPr>
            </w:pPr>
          </w:p>
        </w:tc>
        <w:tc>
          <w:tcPr>
            <w:tcW w:w="880" w:type="dxa"/>
            <w:vAlign w:val="bottom"/>
            <w:tcBorders>
              <w:right w:val="single" w:sz="8" w:color="auto"/>
            </w:tcBorders>
            <w:shd w:val="clear" w:color="auto" w:fill="D9E1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20" w:type="dxa"/>
            <w:vAlign w:val="bottom"/>
            <w:tcBorders>
              <w:left w:val="single" w:sz="8" w:color="auto"/>
            </w:tcBorders>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of Director</w:t>
            </w:r>
          </w:p>
        </w:tc>
        <w:tc>
          <w:tcPr>
            <w:tcW w:w="180" w:type="dxa"/>
            <w:vAlign w:val="bottom"/>
            <w:shd w:val="clear" w:color="auto" w:fill="D9E1F2"/>
          </w:tcPr>
          <w:p>
            <w:pPr>
              <w:spacing w:after="0"/>
              <w:rPr>
                <w:sz w:val="9"/>
                <w:szCs w:val="9"/>
                <w:color w:val="auto"/>
              </w:rPr>
            </w:pPr>
          </w:p>
        </w:tc>
        <w:tc>
          <w:tcPr>
            <w:tcW w:w="940" w:type="dxa"/>
            <w:vAlign w:val="bottom"/>
            <w:shd w:val="clear" w:color="auto" w:fill="D9E1F2"/>
          </w:tcPr>
          <w:p>
            <w:pPr>
              <w:jc w:val="center"/>
              <w:ind w:right="142"/>
              <w:spacing w:after="0" w:line="108" w:lineRule="exact"/>
              <w:rPr>
                <w:sz w:val="20"/>
                <w:szCs w:val="20"/>
                <w:color w:val="auto"/>
              </w:rPr>
            </w:pPr>
            <w:r>
              <w:rPr>
                <w:rFonts w:ascii="Arial" w:cs="Arial" w:eastAsia="Arial" w:hAnsi="Arial"/>
                <w:sz w:val="11"/>
                <w:szCs w:val="11"/>
                <w:b w:val="1"/>
                <w:bCs w:val="1"/>
                <w:color w:val="auto"/>
                <w:w w:val="91"/>
              </w:rPr>
              <w:t>or Paid</w:t>
            </w:r>
          </w:p>
        </w:tc>
        <w:tc>
          <w:tcPr>
            <w:tcW w:w="1340" w:type="dxa"/>
            <w:vAlign w:val="bottom"/>
            <w:vMerge w:val="restart"/>
            <w:shd w:val="clear" w:color="auto" w:fill="D9E1F2"/>
          </w:tcPr>
          <w:p>
            <w:pPr>
              <w:jc w:val="center"/>
              <w:ind w:left="222"/>
              <w:spacing w:after="0"/>
              <w:rPr>
                <w:sz w:val="20"/>
                <w:szCs w:val="20"/>
                <w:color w:val="auto"/>
              </w:rPr>
            </w:pPr>
            <w:r>
              <w:rPr>
                <w:rFonts w:ascii="Arial" w:cs="Arial" w:eastAsia="Arial" w:hAnsi="Arial"/>
                <w:sz w:val="11"/>
                <w:szCs w:val="11"/>
                <w:b w:val="1"/>
                <w:bCs w:val="1"/>
                <w:color w:val="auto"/>
                <w:w w:val="95"/>
              </w:rPr>
              <w:t>Grant Date</w:t>
            </w:r>
          </w:p>
        </w:tc>
        <w:tc>
          <w:tcPr>
            <w:tcW w:w="1240" w:type="dxa"/>
            <w:vAlign w:val="bottom"/>
            <w:shd w:val="clear" w:color="auto" w:fill="D9E1F2"/>
          </w:tcPr>
          <w:p>
            <w:pPr>
              <w:jc w:val="center"/>
              <w:ind w:left="343"/>
              <w:spacing w:after="0" w:line="108" w:lineRule="exact"/>
              <w:rPr>
                <w:sz w:val="20"/>
                <w:szCs w:val="20"/>
                <w:color w:val="auto"/>
              </w:rPr>
            </w:pPr>
            <w:r>
              <w:rPr>
                <w:rFonts w:ascii="Arial" w:cs="Arial" w:eastAsia="Arial" w:hAnsi="Arial"/>
                <w:sz w:val="11"/>
                <w:szCs w:val="11"/>
                <w:b w:val="1"/>
                <w:bCs w:val="1"/>
                <w:color w:val="auto"/>
                <w:w w:val="89"/>
              </w:rPr>
              <w:t>Restricted</w:t>
            </w:r>
          </w:p>
        </w:tc>
        <w:tc>
          <w:tcPr>
            <w:tcW w:w="320" w:type="dxa"/>
            <w:vAlign w:val="bottom"/>
            <w:shd w:val="clear" w:color="auto" w:fill="D9E1F2"/>
          </w:tcPr>
          <w:p>
            <w:pPr>
              <w:spacing w:after="0"/>
              <w:rPr>
                <w:sz w:val="9"/>
                <w:szCs w:val="9"/>
                <w:color w:val="auto"/>
              </w:rPr>
            </w:pPr>
          </w:p>
        </w:tc>
        <w:tc>
          <w:tcPr>
            <w:tcW w:w="940" w:type="dxa"/>
            <w:vAlign w:val="bottom"/>
            <w:vMerge w:val="continue"/>
            <w:shd w:val="clear" w:color="auto" w:fill="D9E1F2"/>
          </w:tcPr>
          <w:p>
            <w:pPr>
              <w:spacing w:after="0"/>
              <w:rPr>
                <w:sz w:val="9"/>
                <w:szCs w:val="9"/>
                <w:color w:val="auto"/>
              </w:rPr>
            </w:pPr>
          </w:p>
        </w:tc>
        <w:tc>
          <w:tcPr>
            <w:tcW w:w="260" w:type="dxa"/>
            <w:vAlign w:val="bottom"/>
            <w:shd w:val="clear" w:color="auto" w:fill="D9E1F2"/>
          </w:tcPr>
          <w:p>
            <w:pPr>
              <w:spacing w:after="0"/>
              <w:rPr>
                <w:sz w:val="9"/>
                <w:szCs w:val="9"/>
                <w:color w:val="auto"/>
              </w:rPr>
            </w:pPr>
          </w:p>
        </w:tc>
        <w:tc>
          <w:tcPr>
            <w:tcW w:w="880" w:type="dxa"/>
            <w:vAlign w:val="bottom"/>
            <w:tcBorders>
              <w:right w:val="single" w:sz="8" w:color="auto"/>
            </w:tcBorders>
            <w:vMerge w:val="restart"/>
            <w:shd w:val="clear" w:color="auto" w:fill="D9E1F2"/>
          </w:tcPr>
          <w:p>
            <w:pPr>
              <w:jc w:val="right"/>
              <w:ind w:right="4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3"/>
        </w:trPr>
        <w:tc>
          <w:tcPr>
            <w:tcW w:w="522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80" w:type="dxa"/>
            <w:vAlign w:val="bottom"/>
            <w:tcBorders>
              <w:bottom w:val="single" w:sz="8" w:color="auto"/>
            </w:tcBorders>
            <w:shd w:val="clear" w:color="auto" w:fill="D9E1F2"/>
          </w:tcPr>
          <w:p>
            <w:pPr>
              <w:spacing w:after="0"/>
              <w:rPr>
                <w:sz w:val="12"/>
                <w:szCs w:val="12"/>
                <w:color w:val="auto"/>
              </w:rPr>
            </w:pPr>
          </w:p>
        </w:tc>
        <w:tc>
          <w:tcPr>
            <w:tcW w:w="940" w:type="dxa"/>
            <w:vAlign w:val="bottom"/>
            <w:tcBorders>
              <w:bottom w:val="single" w:sz="8" w:color="auto"/>
            </w:tcBorders>
            <w:shd w:val="clear" w:color="auto" w:fill="D9E1F2"/>
          </w:tcPr>
          <w:p>
            <w:pPr>
              <w:jc w:val="center"/>
              <w:ind w:right="122"/>
              <w:spacing w:after="0"/>
              <w:rPr>
                <w:sz w:val="20"/>
                <w:szCs w:val="20"/>
                <w:color w:val="auto"/>
              </w:rPr>
            </w:pPr>
            <w:r>
              <w:rPr>
                <w:rFonts w:ascii="Arial" w:cs="Arial" w:eastAsia="Arial" w:hAnsi="Arial"/>
                <w:sz w:val="11"/>
                <w:szCs w:val="11"/>
                <w:b w:val="1"/>
                <w:bCs w:val="1"/>
                <w:color w:val="auto"/>
                <w:w w:val="90"/>
              </w:rPr>
              <w:t>in Cash</w:t>
            </w:r>
          </w:p>
        </w:tc>
        <w:tc>
          <w:tcPr>
            <w:tcW w:w="1340" w:type="dxa"/>
            <w:vAlign w:val="bottom"/>
            <w:tcBorders>
              <w:bottom w:val="single" w:sz="8" w:color="auto"/>
            </w:tcBorders>
            <w:vMerge w:val="continue"/>
            <w:shd w:val="clear" w:color="auto" w:fill="D9E1F2"/>
          </w:tcPr>
          <w:p>
            <w:pPr>
              <w:spacing w:after="0"/>
              <w:rPr>
                <w:sz w:val="12"/>
                <w:szCs w:val="12"/>
                <w:color w:val="auto"/>
              </w:rPr>
            </w:pPr>
          </w:p>
        </w:tc>
        <w:tc>
          <w:tcPr>
            <w:tcW w:w="1240" w:type="dxa"/>
            <w:vAlign w:val="bottom"/>
            <w:tcBorders>
              <w:bottom w:val="single" w:sz="8" w:color="auto"/>
            </w:tcBorders>
            <w:shd w:val="clear" w:color="auto" w:fill="D9E1F2"/>
          </w:tcPr>
          <w:p>
            <w:pPr>
              <w:jc w:val="center"/>
              <w:ind w:left="383"/>
              <w:spacing w:after="0"/>
              <w:rPr>
                <w:sz w:val="20"/>
                <w:szCs w:val="20"/>
                <w:color w:val="auto"/>
              </w:rPr>
            </w:pPr>
            <w:r>
              <w:rPr>
                <w:rFonts w:ascii="Arial" w:cs="Arial" w:eastAsia="Arial" w:hAnsi="Arial"/>
                <w:sz w:val="11"/>
                <w:szCs w:val="11"/>
                <w:b w:val="1"/>
                <w:bCs w:val="1"/>
                <w:color w:val="auto"/>
                <w:w w:val="90"/>
              </w:rPr>
              <w:t>Shares (#)</w:t>
            </w:r>
          </w:p>
        </w:tc>
        <w:tc>
          <w:tcPr>
            <w:tcW w:w="320" w:type="dxa"/>
            <w:vAlign w:val="bottom"/>
            <w:tcBorders>
              <w:bottom w:val="single" w:sz="8" w:color="auto"/>
            </w:tcBorders>
            <w:shd w:val="clear" w:color="auto" w:fill="D9E1F2"/>
          </w:tcPr>
          <w:p>
            <w:pPr>
              <w:spacing w:after="0"/>
              <w:rPr>
                <w:sz w:val="12"/>
                <w:szCs w:val="12"/>
                <w:color w:val="auto"/>
              </w:rPr>
            </w:pPr>
          </w:p>
        </w:tc>
        <w:tc>
          <w:tcPr>
            <w:tcW w:w="940" w:type="dxa"/>
            <w:vAlign w:val="bottom"/>
            <w:tcBorders>
              <w:bottom w:val="single" w:sz="8" w:color="auto"/>
            </w:tcBorders>
            <w:shd w:val="clear" w:color="auto" w:fill="D9E1F2"/>
          </w:tcPr>
          <w:p>
            <w:pPr>
              <w:jc w:val="right"/>
              <w:ind w:right="262"/>
              <w:spacing w:after="0"/>
              <w:rPr>
                <w:sz w:val="20"/>
                <w:szCs w:val="20"/>
                <w:color w:val="auto"/>
              </w:rPr>
            </w:pPr>
            <w:r>
              <w:rPr>
                <w:rFonts w:ascii="Arial" w:cs="Arial" w:eastAsia="Arial" w:hAnsi="Arial"/>
                <w:sz w:val="11"/>
                <w:szCs w:val="11"/>
                <w:b w:val="1"/>
                <w:bCs w:val="1"/>
                <w:color w:val="auto"/>
              </w:rPr>
              <w:t>Fair Value</w:t>
            </w:r>
          </w:p>
        </w:tc>
        <w:tc>
          <w:tcPr>
            <w:tcW w:w="260" w:type="dxa"/>
            <w:vAlign w:val="bottom"/>
            <w:tcBorders>
              <w:bottom w:val="single" w:sz="8" w:color="auto"/>
            </w:tcBorders>
            <w:shd w:val="clear" w:color="auto" w:fill="D9E1F2"/>
          </w:tcPr>
          <w:p>
            <w:pPr>
              <w:spacing w:after="0"/>
              <w:rPr>
                <w:sz w:val="12"/>
                <w:szCs w:val="12"/>
                <w:color w:val="auto"/>
              </w:rPr>
            </w:pPr>
          </w:p>
        </w:tc>
        <w:tc>
          <w:tcPr>
            <w:tcW w:w="88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Elizabeth B. Davis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114,500</w:t>
            </w:r>
          </w:p>
        </w:tc>
        <w:tc>
          <w:tcPr>
            <w:tcW w:w="1340" w:type="dxa"/>
            <w:vAlign w:val="bottom"/>
          </w:tcPr>
          <w:p>
            <w:pPr>
              <w:jc w:val="center"/>
              <w:ind w:left="222"/>
              <w:spacing w:after="0"/>
              <w:rPr>
                <w:sz w:val="20"/>
                <w:szCs w:val="20"/>
                <w:color w:val="auto"/>
              </w:rPr>
            </w:pPr>
            <w:r>
              <w:rPr>
                <w:rFonts w:ascii="Arial" w:cs="Arial" w:eastAsia="Arial" w:hAnsi="Arial"/>
                <w:sz w:val="12"/>
                <w:szCs w:val="12"/>
                <w:color w:val="auto"/>
                <w:w w:val="89"/>
              </w:rPr>
              <w:t>June 3, 2020</w:t>
            </w:r>
          </w:p>
        </w:tc>
        <w:tc>
          <w:tcPr>
            <w:tcW w:w="1240" w:type="dxa"/>
            <w:vAlign w:val="bottom"/>
          </w:tcPr>
          <w:p>
            <w:pPr>
              <w:jc w:val="center"/>
              <w:ind w:left="383"/>
              <w:spacing w:after="0"/>
              <w:rPr>
                <w:sz w:val="20"/>
                <w:szCs w:val="20"/>
                <w:color w:val="auto"/>
              </w:rPr>
            </w:pPr>
            <w:r>
              <w:rPr>
                <w:rFonts w:ascii="Arial" w:cs="Arial" w:eastAsia="Arial" w:hAnsi="Arial"/>
                <w:sz w:val="12"/>
                <w:szCs w:val="12"/>
                <w:color w:val="auto"/>
                <w:w w:val="87"/>
              </w:rPr>
              <w:t>23,234</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125,000</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239,500</w:t>
            </w: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Morris E. Foster</w:t>
            </w:r>
          </w:p>
        </w:tc>
        <w:tc>
          <w:tcPr>
            <w:tcW w:w="180" w:type="dxa"/>
            <w:vAlign w:val="bottom"/>
            <w:shd w:val="clear" w:color="auto" w:fill="D9E1F2"/>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D9E1F2"/>
          </w:tcPr>
          <w:p>
            <w:pPr>
              <w:jc w:val="right"/>
              <w:ind w:right="2"/>
              <w:spacing w:after="0"/>
              <w:rPr>
                <w:sz w:val="20"/>
                <w:szCs w:val="20"/>
                <w:color w:val="auto"/>
              </w:rPr>
            </w:pPr>
            <w:r>
              <w:rPr>
                <w:rFonts w:ascii="Arial" w:cs="Arial" w:eastAsia="Arial" w:hAnsi="Arial"/>
                <w:sz w:val="12"/>
                <w:szCs w:val="12"/>
                <w:color w:val="auto"/>
              </w:rPr>
              <w:t>95,500</w:t>
            </w:r>
          </w:p>
        </w:tc>
        <w:tc>
          <w:tcPr>
            <w:tcW w:w="1340" w:type="dxa"/>
            <w:vAlign w:val="bottom"/>
            <w:shd w:val="clear" w:color="auto" w:fill="D9E1F2"/>
          </w:tcPr>
          <w:p>
            <w:pPr>
              <w:jc w:val="center"/>
              <w:ind w:left="222"/>
              <w:spacing w:after="0"/>
              <w:rPr>
                <w:sz w:val="20"/>
                <w:szCs w:val="20"/>
                <w:color w:val="auto"/>
              </w:rPr>
            </w:pPr>
            <w:r>
              <w:rPr>
                <w:rFonts w:ascii="Arial" w:cs="Arial" w:eastAsia="Arial" w:hAnsi="Arial"/>
                <w:sz w:val="12"/>
                <w:szCs w:val="12"/>
                <w:color w:val="auto"/>
                <w:w w:val="89"/>
              </w:rPr>
              <w:t>June 3, 2020</w:t>
            </w:r>
          </w:p>
        </w:tc>
        <w:tc>
          <w:tcPr>
            <w:tcW w:w="1240" w:type="dxa"/>
            <w:vAlign w:val="bottom"/>
            <w:shd w:val="clear" w:color="auto" w:fill="D9E1F2"/>
          </w:tcPr>
          <w:p>
            <w:pPr>
              <w:jc w:val="center"/>
              <w:ind w:left="383"/>
              <w:spacing w:after="0"/>
              <w:rPr>
                <w:sz w:val="20"/>
                <w:szCs w:val="20"/>
                <w:color w:val="auto"/>
              </w:rPr>
            </w:pPr>
            <w:r>
              <w:rPr>
                <w:rFonts w:ascii="Arial" w:cs="Arial" w:eastAsia="Arial" w:hAnsi="Arial"/>
                <w:sz w:val="12"/>
                <w:szCs w:val="12"/>
                <w:color w:val="auto"/>
                <w:w w:val="87"/>
              </w:rPr>
              <w:t>23,234</w:t>
            </w:r>
          </w:p>
        </w:tc>
        <w:tc>
          <w:tcPr>
            <w:tcW w:w="320" w:type="dxa"/>
            <w:vAlign w:val="bottom"/>
            <w:shd w:val="clear" w:color="auto" w:fill="D9E1F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D9E1F2"/>
          </w:tcPr>
          <w:p>
            <w:pPr>
              <w:jc w:val="right"/>
              <w:spacing w:after="0"/>
              <w:rPr>
                <w:sz w:val="20"/>
                <w:szCs w:val="20"/>
                <w:color w:val="auto"/>
              </w:rPr>
            </w:pPr>
            <w:r>
              <w:rPr>
                <w:rFonts w:ascii="Arial" w:cs="Arial" w:eastAsia="Arial" w:hAnsi="Arial"/>
                <w:sz w:val="12"/>
                <w:szCs w:val="12"/>
                <w:color w:val="auto"/>
              </w:rPr>
              <w:t>125,000</w:t>
            </w:r>
          </w:p>
        </w:tc>
        <w:tc>
          <w:tcPr>
            <w:tcW w:w="260" w:type="dxa"/>
            <w:vAlign w:val="bottom"/>
            <w:shd w:val="clear" w:color="auto" w:fill="D9E1F2"/>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right w:val="single" w:sz="8" w:color="auto"/>
            </w:tcBorders>
            <w:shd w:val="clear" w:color="auto" w:fill="D9E1F2"/>
          </w:tcPr>
          <w:p>
            <w:pPr>
              <w:jc w:val="right"/>
              <w:ind w:right="21"/>
              <w:spacing w:after="0"/>
              <w:rPr>
                <w:sz w:val="20"/>
                <w:szCs w:val="20"/>
                <w:color w:val="auto"/>
              </w:rPr>
            </w:pPr>
            <w:r>
              <w:rPr>
                <w:rFonts w:ascii="Arial" w:cs="Arial" w:eastAsia="Arial" w:hAnsi="Arial"/>
                <w:sz w:val="12"/>
                <w:szCs w:val="12"/>
                <w:color w:val="auto"/>
              </w:rPr>
              <w:t>220,500</w:t>
            </w: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2"/>
                <w:szCs w:val="12"/>
                <w:color w:val="auto"/>
              </w:rPr>
              <w:t xml:space="preserve">John D. Jacobi </w:t>
            </w:r>
            <w:r>
              <w:rPr>
                <w:rFonts w:ascii="Arial" w:cs="Arial" w:eastAsia="Arial" w:hAnsi="Arial"/>
                <w:sz w:val="15"/>
                <w:szCs w:val="15"/>
                <w:color w:val="auto"/>
                <w:vertAlign w:val="superscript"/>
              </w:rPr>
              <w:t>(1)</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53,102</w:t>
            </w:r>
          </w:p>
        </w:tc>
        <w:tc>
          <w:tcPr>
            <w:tcW w:w="1340" w:type="dxa"/>
            <w:vAlign w:val="bottom"/>
          </w:tcPr>
          <w:p>
            <w:pPr>
              <w:spacing w:after="0"/>
              <w:rPr>
                <w:sz w:val="13"/>
                <w:szCs w:val="13"/>
                <w:color w:val="auto"/>
              </w:rPr>
            </w:pPr>
          </w:p>
        </w:tc>
        <w:tc>
          <w:tcPr>
            <w:tcW w:w="1240" w:type="dxa"/>
            <w:vAlign w:val="bottom"/>
          </w:tcPr>
          <w:p>
            <w:pPr>
              <w:jc w:val="center"/>
              <w:ind w:left="383"/>
              <w:spacing w:after="0"/>
              <w:rPr>
                <w:sz w:val="20"/>
                <w:szCs w:val="20"/>
                <w:color w:val="auto"/>
              </w:rPr>
            </w:pPr>
            <w:r>
              <w:rPr>
                <w:rFonts w:ascii="Arial" w:cs="Arial" w:eastAsia="Arial" w:hAnsi="Arial"/>
                <w:sz w:val="12"/>
                <w:szCs w:val="12"/>
                <w:color w:val="auto"/>
                <w:w w:val="99"/>
              </w:rPr>
              <w:t>—</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88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53,102</w:t>
            </w: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tcBorders>
            <w:shd w:val="clear" w:color="auto" w:fill="D9E1F2"/>
          </w:tcPr>
          <w:p>
            <w:pPr>
              <w:ind w:left="20"/>
              <w:spacing w:after="0" w:line="153" w:lineRule="exact"/>
              <w:rPr>
                <w:sz w:val="20"/>
                <w:szCs w:val="20"/>
                <w:color w:val="auto"/>
              </w:rPr>
            </w:pPr>
            <w:r>
              <w:rPr>
                <w:rFonts w:ascii="Arial" w:cs="Arial" w:eastAsia="Arial" w:hAnsi="Arial"/>
                <w:sz w:val="12"/>
                <w:szCs w:val="12"/>
                <w:color w:val="auto"/>
              </w:rPr>
              <w:t xml:space="preserve">Jordan T. Marye </w:t>
            </w:r>
            <w:r>
              <w:rPr>
                <w:rFonts w:ascii="Arial" w:cs="Arial" w:eastAsia="Arial" w:hAnsi="Arial"/>
                <w:sz w:val="15"/>
                <w:szCs w:val="15"/>
                <w:color w:val="auto"/>
                <w:vertAlign w:val="superscript"/>
              </w:rPr>
              <w:t>(1)(2)</w:t>
            </w:r>
          </w:p>
        </w:tc>
        <w:tc>
          <w:tcPr>
            <w:tcW w:w="180" w:type="dxa"/>
            <w:vAlign w:val="bottom"/>
            <w:shd w:val="clear" w:color="auto" w:fill="D9E1F2"/>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D9E1F2"/>
          </w:tcPr>
          <w:p>
            <w:pPr>
              <w:jc w:val="right"/>
              <w:ind w:right="2"/>
              <w:spacing w:after="0"/>
              <w:rPr>
                <w:sz w:val="20"/>
                <w:szCs w:val="20"/>
                <w:color w:val="auto"/>
              </w:rPr>
            </w:pPr>
            <w:r>
              <w:rPr>
                <w:rFonts w:ascii="Arial" w:cs="Arial" w:eastAsia="Arial" w:hAnsi="Arial"/>
                <w:sz w:val="12"/>
                <w:szCs w:val="12"/>
                <w:color w:val="auto"/>
              </w:rPr>
              <w:t>53,102</w:t>
            </w:r>
          </w:p>
        </w:tc>
        <w:tc>
          <w:tcPr>
            <w:tcW w:w="1340" w:type="dxa"/>
            <w:vAlign w:val="bottom"/>
            <w:shd w:val="clear" w:color="auto" w:fill="D9E1F2"/>
          </w:tcPr>
          <w:p>
            <w:pPr>
              <w:spacing w:after="0"/>
              <w:rPr>
                <w:sz w:val="13"/>
                <w:szCs w:val="13"/>
                <w:color w:val="auto"/>
              </w:rPr>
            </w:pPr>
          </w:p>
        </w:tc>
        <w:tc>
          <w:tcPr>
            <w:tcW w:w="1240" w:type="dxa"/>
            <w:vAlign w:val="bottom"/>
            <w:shd w:val="clear" w:color="auto" w:fill="D9E1F2"/>
          </w:tcPr>
          <w:p>
            <w:pPr>
              <w:jc w:val="center"/>
              <w:ind w:left="383"/>
              <w:spacing w:after="0"/>
              <w:rPr>
                <w:sz w:val="20"/>
                <w:szCs w:val="20"/>
                <w:color w:val="auto"/>
              </w:rPr>
            </w:pPr>
            <w:r>
              <w:rPr>
                <w:rFonts w:ascii="Arial" w:cs="Arial" w:eastAsia="Arial" w:hAnsi="Arial"/>
                <w:sz w:val="12"/>
                <w:szCs w:val="12"/>
                <w:color w:val="auto"/>
                <w:w w:val="99"/>
              </w:rPr>
              <w:t>—</w:t>
            </w:r>
          </w:p>
        </w:tc>
        <w:tc>
          <w:tcPr>
            <w:tcW w:w="320" w:type="dxa"/>
            <w:vAlign w:val="bottom"/>
            <w:shd w:val="clear" w:color="auto" w:fill="D9E1F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9E1F2"/>
          </w:tcPr>
          <w:p>
            <w:pPr>
              <w:jc w:val="right"/>
              <w:ind w:right="120"/>
              <w:spacing w:after="0"/>
              <w:rPr>
                <w:sz w:val="20"/>
                <w:szCs w:val="20"/>
                <w:color w:val="auto"/>
              </w:rPr>
            </w:pPr>
            <w:r>
              <w:rPr>
                <w:rFonts w:ascii="Arial" w:cs="Arial" w:eastAsia="Arial" w:hAnsi="Arial"/>
                <w:sz w:val="12"/>
                <w:szCs w:val="12"/>
                <w:color w:val="auto"/>
              </w:rPr>
              <w:t>— $</w:t>
            </w:r>
          </w:p>
        </w:tc>
        <w:tc>
          <w:tcPr>
            <w:tcW w:w="880" w:type="dxa"/>
            <w:vAlign w:val="bottom"/>
            <w:tcBorders>
              <w:right w:val="single" w:sz="8" w:color="auto"/>
            </w:tcBorders>
            <w:shd w:val="clear" w:color="auto" w:fill="D9E1F2"/>
          </w:tcPr>
          <w:p>
            <w:pPr>
              <w:jc w:val="right"/>
              <w:ind w:right="21"/>
              <w:spacing w:after="0"/>
              <w:rPr>
                <w:sz w:val="20"/>
                <w:szCs w:val="20"/>
                <w:color w:val="auto"/>
              </w:rPr>
            </w:pPr>
            <w:r>
              <w:rPr>
                <w:rFonts w:ascii="Arial" w:cs="Arial" w:eastAsia="Arial" w:hAnsi="Arial"/>
                <w:sz w:val="12"/>
                <w:szCs w:val="12"/>
                <w:color w:val="auto"/>
              </w:rPr>
              <w:t>53,102</w:t>
            </w: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Jim L. Turner</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140,750</w:t>
            </w:r>
          </w:p>
        </w:tc>
        <w:tc>
          <w:tcPr>
            <w:tcW w:w="1340" w:type="dxa"/>
            <w:vAlign w:val="bottom"/>
            <w:tcBorders>
              <w:bottom w:val="single" w:sz="8" w:color="auto"/>
            </w:tcBorders>
          </w:tcPr>
          <w:p>
            <w:pPr>
              <w:jc w:val="center"/>
              <w:ind w:left="222"/>
              <w:spacing w:after="0"/>
              <w:rPr>
                <w:sz w:val="20"/>
                <w:szCs w:val="20"/>
                <w:color w:val="auto"/>
              </w:rPr>
            </w:pPr>
            <w:r>
              <w:rPr>
                <w:rFonts w:ascii="Arial" w:cs="Arial" w:eastAsia="Arial" w:hAnsi="Arial"/>
                <w:sz w:val="12"/>
                <w:szCs w:val="12"/>
                <w:color w:val="auto"/>
                <w:w w:val="89"/>
              </w:rPr>
              <w:t>June 3, 2020</w:t>
            </w:r>
          </w:p>
        </w:tc>
        <w:tc>
          <w:tcPr>
            <w:tcW w:w="1240" w:type="dxa"/>
            <w:vAlign w:val="bottom"/>
            <w:tcBorders>
              <w:bottom w:val="single" w:sz="8" w:color="auto"/>
            </w:tcBorders>
          </w:tcPr>
          <w:p>
            <w:pPr>
              <w:jc w:val="center"/>
              <w:ind w:left="383"/>
              <w:spacing w:after="0"/>
              <w:rPr>
                <w:sz w:val="20"/>
                <w:szCs w:val="20"/>
                <w:color w:val="auto"/>
              </w:rPr>
            </w:pPr>
            <w:r>
              <w:rPr>
                <w:rFonts w:ascii="Arial" w:cs="Arial" w:eastAsia="Arial" w:hAnsi="Arial"/>
                <w:sz w:val="12"/>
                <w:szCs w:val="12"/>
                <w:color w:val="auto"/>
                <w:w w:val="87"/>
              </w:rPr>
              <w:t>23,234</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125,000</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2"/>
                <w:szCs w:val="12"/>
                <w:color w:val="auto"/>
              </w:rPr>
              <w:t>265,750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8"/>
          <w:szCs w:val="8"/>
          <w:i w:val="1"/>
          <w:iCs w:val="1"/>
          <w:color w:val="auto"/>
        </w:rPr>
      </w:pPr>
      <w:r>
        <w:rPr>
          <w:rFonts w:ascii="Arial" w:cs="Arial" w:eastAsia="Arial" w:hAnsi="Arial"/>
          <w:sz w:val="8"/>
          <w:szCs w:val="8"/>
          <w:i w:val="1"/>
          <w:iCs w:val="1"/>
          <w:color w:val="auto"/>
        </w:rPr>
        <w:t>Messrs. Jacobi and Marye resigned in August 2020 in connection with Covey Park Holdings, LLC's reduction in ownership of the Company to less than 10%. The June 3, 2020 equity award of 23,234 shares for each of Messrs. Jacobi and Marye was forfeited.</w:t>
      </w:r>
    </w:p>
    <w:p>
      <w:pPr>
        <w:spacing w:after="0" w:line="12" w:lineRule="exact"/>
        <w:rPr>
          <w:rFonts w:ascii="Arial" w:cs="Arial" w:eastAsia="Arial" w:hAnsi="Arial"/>
          <w:sz w:val="8"/>
          <w:szCs w:val="8"/>
          <w:i w:val="1"/>
          <w:iCs w:val="1"/>
          <w:color w:val="auto"/>
        </w:rPr>
      </w:pPr>
    </w:p>
    <w:p>
      <w:pPr>
        <w:ind w:left="208" w:hanging="208"/>
        <w:spacing w:after="0"/>
        <w:tabs>
          <w:tab w:leader="none" w:pos="208" w:val="left"/>
        </w:tabs>
        <w:numPr>
          <w:ilvl w:val="0"/>
          <w:numId w:val="20"/>
        </w:numPr>
        <w:rPr>
          <w:rFonts w:ascii="Arial" w:cs="Arial" w:eastAsia="Arial" w:hAnsi="Arial"/>
          <w:sz w:val="8"/>
          <w:szCs w:val="8"/>
          <w:i w:val="1"/>
          <w:iCs w:val="1"/>
          <w:color w:val="auto"/>
        </w:rPr>
      </w:pPr>
      <w:r>
        <w:rPr>
          <w:rFonts w:ascii="Arial" w:cs="Arial" w:eastAsia="Arial" w:hAnsi="Arial"/>
          <w:sz w:val="8"/>
          <w:szCs w:val="8"/>
          <w:i w:val="1"/>
          <w:iCs w:val="1"/>
          <w:color w:val="auto"/>
        </w:rPr>
        <w:t>Director compensation for Mr. Marye was paid to Covey Park Holdings LLC.</w:t>
      </w:r>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8"/>
          </w:cols>
          <w:pgMar w:left="292" w:top="131"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4">
        <w:r>
          <w:rPr>
            <w:rFonts w:ascii="Arial" w:cs="Arial" w:eastAsia="Arial" w:hAnsi="Arial"/>
            <w:sz w:val="10"/>
            <w:szCs w:val="10"/>
            <w:u w:val="single" w:color="auto"/>
            <w:color w:val="0000FF"/>
          </w:rPr>
          <w:t>Table of Contents</w:t>
        </w:r>
      </w:hyperlink>
    </w:p>
    <w:p>
      <w:pPr>
        <w:sectPr>
          <w:pgSz w:w="11900" w:h="16838" w:orient="portrait"/>
          <w:cols w:equalWidth="0" w:num="1">
            <w:col w:w="11300"/>
          </w:cols>
          <w:pgMar w:left="300" w:top="131" w:right="29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b w:val="1"/>
          <w:bCs w:val="1"/>
          <w:color w:val="225CAB"/>
        </w:rPr>
        <w:t>PROPOSAL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right="500"/>
        <w:spacing w:after="0" w:line="235" w:lineRule="auto"/>
        <w:rPr>
          <w:sz w:val="20"/>
          <w:szCs w:val="20"/>
          <w:color w:val="auto"/>
        </w:rPr>
      </w:pPr>
      <w:r>
        <w:rPr>
          <w:rFonts w:ascii="Arial" w:cs="Arial" w:eastAsia="Arial" w:hAnsi="Arial"/>
          <w:sz w:val="22"/>
          <w:szCs w:val="22"/>
          <w:b w:val="1"/>
          <w:bCs w:val="1"/>
          <w:color w:val="225CAB"/>
        </w:rPr>
        <w:t>TO RATIFY THE APPOINTMENT OF INDEPENDENT REGISTERED PUBLIC ACCOUNTANTS FOR 2021</w:t>
      </w:r>
    </w:p>
    <w:p>
      <w:pPr>
        <w:spacing w:after="0" w:line="116" w:lineRule="exact"/>
        <w:rPr>
          <w:sz w:val="20"/>
          <w:szCs w:val="20"/>
          <w:color w:val="auto"/>
        </w:rPr>
      </w:pPr>
    </w:p>
    <w:p>
      <w:pPr>
        <w:sectPr>
          <w:pgSz w:w="11900" w:h="16838" w:orient="portrait"/>
          <w:cols w:equalWidth="0" w:num="2">
            <w:col w:w="3260" w:space="720"/>
            <w:col w:w="7320"/>
          </w:cols>
          <w:pgMar w:left="300" w:top="131" w:right="299" w:bottom="1440" w:gutter="0" w:footer="0" w:header="0"/>
          <w:type w:val="continuous"/>
        </w:sectPr>
      </w:pPr>
    </w:p>
    <w:p>
      <w:pPr>
        <w:jc w:val="both"/>
        <w:spacing w:after="0" w:line="250" w:lineRule="auto"/>
        <w:rPr>
          <w:sz w:val="20"/>
          <w:szCs w:val="20"/>
          <w:color w:val="auto"/>
        </w:rPr>
      </w:pPr>
      <w:r>
        <w:rPr>
          <w:rFonts w:ascii="Arial" w:cs="Arial" w:eastAsia="Arial" w:hAnsi="Arial"/>
          <w:sz w:val="13"/>
          <w:szCs w:val="13"/>
          <w:color w:val="auto"/>
        </w:rPr>
        <w:t>Ernst &amp; Young LLP ("EY") has served as the Company's independent registered public accountants since 2003. The audit committee has appointed EY as independent registered public accountants for the Company for 2021, subject to the ratification of such appointment by the stockholders. A vote will be held on a proposal to ratify this appointment at the Annual Meeting. While there is no legal requirement that this proposal be submitted to stockholders, the Board believes that the selection of independent registered public accountants to audit the financial statements of the Company is of sufficient importance to seek stockholder ratification. In the event a majority of the votes cast is not voted in favor of the ratification of the appointment of EY, the audit committee will reconsider the appointment. Even if the selection is ratified, the audit committee, in its discretion, may elect a different independent registered public accounting firm at any time if the audit committee determines that such a change would be in the best interests of our Company and stockholders.</w:t>
      </w:r>
    </w:p>
    <w:p>
      <w:pPr>
        <w:spacing w:after="0" w:line="128"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It is expected that representatives of EY will be present at the Annual Meeting and will be available to answer appropriate questions pertaining to the Report of Independent Registered Public Accounting Firm contained in the financial statements included in our Annual Report on Form 10-K for the year ended December 31, 2020. These representatives will have the opportunity to make a statement if they desire.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The fees billed by EY for services rendered for 2019 and 2020 are set out on page 20 of this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225CAB"/>
        </w:rPr>
        <w:t>The Board recommends that stockholders vote "FOR" the ratification of this appointment.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31" w:right="299" w:bottom="1440" w:gutter="0" w:footer="0" w:header="0"/>
          <w:type w:val="continuous"/>
        </w:sectPr>
      </w:pPr>
    </w:p>
    <w:bookmarkStart w:id="24" w:name="page25"/>
    <w:bookmarkEnd w:id="2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Audit-Related Matters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Report of the Audit Committee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audit committee assists the Board in overseeing: (1) the integrity of Comstock's financial statements; (2) Comstock's compliance with legal and regulatory requirements; (3) the independence, qualifications and performance of Comstock's independent registered public accounting firm; (4) Comstock's performance of its internal audit function; (5) Comstock's derivatives and hedging program; and (6) Comstock's oil and natural gas reserves estimation process. The Board has made a determination that the members of the audit committee satisfy the requirements of the NYSE listing standards as to independence, financial literacy and experience. The Board also determined that Dr. Davis is an "audit committee financial expert," as defined by the rules of the SEC. The audit committee has in place a procedure for receiving and addressing anonymous complaints regarding financial or accounting irregularities. The audit committee has set up a toll free ethics and compliance hotline managed by an independent third party. This hotline is available 24 hours a day, seven days a week, to enable employees to communicate concerns to management without fear of retaliation.</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Management is responsible for the preparation, presentation and integrity of Comstock's financial statements, accounting and financial reporting principles, and internal controls and procedures designed to assure compliance with accounting standards and applicable laws and regulations. The independent registered public accounting firm is responsible for performing an independent audit of the consolidated financial statements in accordance with generally accepted auditing standards. Consistent with its oversight role, the audit committee met with EY with and without management present to discuss the results of their examinations, their evaluations of Comstock's internal controls and the overall quality of the Company's financial reporting.</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In performing its oversight role, the audit committee has reviewed and discussed the audited financial statements with management and with EY. The audit committee recognizes the importance of maintaining the independence of Comstock's independent registered public accounting firm. The audit committee discussed with EY the matters required to be discussed by Auditing Standard No. 1301, </w:t>
      </w:r>
      <w:r>
        <w:rPr>
          <w:rFonts w:ascii="Arial" w:cs="Arial" w:eastAsia="Arial" w:hAnsi="Arial"/>
          <w:sz w:val="13"/>
          <w:szCs w:val="13"/>
          <w:i w:val="1"/>
          <w:iCs w:val="1"/>
          <w:color w:val="auto"/>
        </w:rPr>
        <w:t>Communications with Audit</w:t>
      </w:r>
      <w:r>
        <w:rPr>
          <w:rFonts w:ascii="Arial" w:cs="Arial" w:eastAsia="Arial" w:hAnsi="Arial"/>
          <w:sz w:val="13"/>
          <w:szCs w:val="13"/>
          <w:color w:val="auto"/>
        </w:rPr>
        <w:t xml:space="preserve"> </w:t>
      </w:r>
      <w:r>
        <w:rPr>
          <w:rFonts w:ascii="Arial" w:cs="Arial" w:eastAsia="Arial" w:hAnsi="Arial"/>
          <w:sz w:val="13"/>
          <w:szCs w:val="13"/>
          <w:i w:val="1"/>
          <w:iCs w:val="1"/>
          <w:color w:val="auto"/>
        </w:rPr>
        <w:t>Committees</w:t>
      </w:r>
      <w:r>
        <w:rPr>
          <w:rFonts w:ascii="Arial" w:cs="Arial" w:eastAsia="Arial" w:hAnsi="Arial"/>
          <w:sz w:val="13"/>
          <w:szCs w:val="13"/>
          <w:color w:val="auto"/>
        </w:rPr>
        <w:t>, and received from EY the written disclosures and the letter concerning the independent registered public accounting firm's independence required by PCAOB Rule 3526 and the federal securities laws</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administered by the SEC.</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Based on the review and discussions referred to above, the audit committee recommended to the Board that the audited financial statements for the fiscal year ended December 31, 2020 be included in the Annual Report on Form 10-K for the same fiscal year, for filing with the SEC.</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members of the audit committee are not professionally engaged in the practice of auditing or accounting for Comstock and are not experts on auditor independence standards. Members of the audit committee rely without independent verification on the information provided to them and on the representations made by management and Comstock's registered public accounting firm.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Comstock's financial statements has been carried out in accordance with generally accepted auditing standards, that the financial statements are presented in accordance with generally accepted accounting principles, or that EY is in fact independent. The independent registered public accounting firm is responsible for performing an audit of the financial statements and of management's assessment of the effectiveness of the Company's internal control over financial reporting in accordance with the standards of the Public Accounting Oversight Board.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Submitted by the audit committee of the Board.</w:t>
      </w:r>
    </w:p>
    <w:p>
      <w:pPr>
        <w:spacing w:after="0" w:line="103"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Elizabeth B. Davis, Chairman</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Morris E. Foster</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Jim L. Turner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31"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Audit Committee Financial Expert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Our Board has determined that the chairman of our audit committee, Dr. Davis, meets the qualifications of an "audit committee financial expert" as that term is used in SEC regulations.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Principal Accounting Firm Fees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fees billed or to be billed by EY, for services rendered for the 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111760</wp:posOffset>
            </wp:positionV>
            <wp:extent cx="354901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9015" cy="205740"/>
                    </a:xfrm>
                    <a:prstGeom prst="rect">
                      <a:avLst/>
                    </a:prstGeom>
                    <a:noFill/>
                  </pic:spPr>
                </pic:pic>
              </a:graphicData>
            </a:graphic>
          </wp:anchor>
        </w:drawing>
      </w:r>
    </w:p>
    <w:p>
      <w:pPr>
        <w:spacing w:after="0" w:line="165" w:lineRule="exact"/>
        <w:rPr>
          <w:sz w:val="20"/>
          <w:szCs w:val="20"/>
          <w:color w:val="auto"/>
        </w:rPr>
      </w:pPr>
    </w:p>
    <w:p>
      <w:pPr>
        <w:ind w:left="6540"/>
        <w:spacing w:after="0"/>
        <w:tabs>
          <w:tab w:leader="none" w:pos="774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2020</w:t>
      </w:r>
    </w:p>
    <w:p>
      <w:pPr>
        <w:spacing w:after="0" w:line="18" w:lineRule="exact"/>
        <w:rPr>
          <w:sz w:val="20"/>
          <w:szCs w:val="20"/>
          <w:color w:val="auto"/>
        </w:rPr>
      </w:pPr>
    </w:p>
    <w:p>
      <w:pPr>
        <w:ind w:left="2880"/>
        <w:spacing w:after="0"/>
        <w:tabs>
          <w:tab w:leader="none" w:pos="6080" w:val="left"/>
          <w:tab w:leader="none" w:pos="6680" w:val="left"/>
          <w:tab w:leader="none" w:pos="7300" w:val="left"/>
          <w:tab w:leader="none" w:pos="7880" w:val="left"/>
        </w:tabs>
        <w:rPr>
          <w:sz w:val="20"/>
          <w:szCs w:val="20"/>
          <w:color w:val="auto"/>
        </w:rPr>
      </w:pPr>
      <w:r>
        <w:rPr>
          <w:rFonts w:ascii="Arial" w:cs="Arial" w:eastAsia="Arial" w:hAnsi="Arial"/>
          <w:sz w:val="12"/>
          <w:szCs w:val="12"/>
          <w:color w:val="auto"/>
        </w:rPr>
        <w:t>Audit Fees</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1,451,500</w:t>
        <w:tab/>
        <w:t>$</w:t>
      </w:r>
      <w:r>
        <w:rPr>
          <w:sz w:val="20"/>
          <w:szCs w:val="20"/>
          <w:color w:val="auto"/>
        </w:rPr>
        <w:tab/>
      </w:r>
      <w:r>
        <w:rPr>
          <w:rFonts w:ascii="Arial" w:cs="Arial" w:eastAsia="Arial" w:hAnsi="Arial"/>
          <w:sz w:val="10"/>
          <w:szCs w:val="10"/>
          <w:color w:val="auto"/>
        </w:rPr>
        <w:t>1,388,871</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No audit-related fees, fees related to tax services or other fees were billed by EY in 2019 or 2020. The audit committee performs an annual review and approves the scope of services and proposed fees of the Company's principal accounting firm. Any projects not specifically included in this approval will be reviewed and approved in advance by the chairman of the audit committee and will be reviewed by the full audit committee at the next regularly scheduled meeting. The audit committee also considered whether the provision of services, other than audit services, is compatible with maintaining the accounting firm's independence.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Pre-approval Policies and Procedures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The audit committee's policy is to pre-approve all audit and permissible non-audit services provided by the independent registered public accounting firm. These services may include audit services, audit related services, tax services and other services. Pre-approval is detailed as to the particular service or category of service and is subject to a specific engagement authorization. The audit committee requires the independent registered public accounting firm and management to report on the actual fees charged for each category of service at audit committee meetings throughout the year.</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During the year, circumstances may arise when it becomes necessary to engage the independent registered public accounting firm for additional services not contemplated in the original pre-approval. In those instances, the audit committee requires specific pre-approval authority from the chairman of the audit committee, who must report on such approvals at the next scheduled audit committee meeting. All 2020 audit and non-audit services provided by the independent registered public accounting firm were pre-approved by the audit committee.</w:t>
      </w:r>
    </w:p>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Compensation Committee Report</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The compensation committee determines the objectives for Comstock's executive compensation and benefit programs and discharges the responsibilities relating to the compensation of Comstock's executive officers. The specific duties of the compensation committee are set forth in its charter, which was adopted by the Board. The compensation committee has reviewed and discussed with management the Compensation Discussion and Analysis ("CD&amp;A") contained on pages 21-34 of this proxy statement and, based upon this review and discussion, the committee recommended to the Board, and the Board approved, that the CD&amp;A be included in this proxy statement and incorporated by reference into the Company's Annual Report on Form 10-K for the fiscal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Submitted by the compensation committee of the Board.</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Jim L. Turner, Chairman</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Elizabeth B. Davis</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Morris E. Foster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31" w:right="299" w:bottom="1440" w:gutter="0" w:footer="0" w:header="0"/>
        </w:sectPr>
      </w:pPr>
    </w:p>
    <w:bookmarkStart w:id="26" w:name="page27"/>
    <w:bookmarkEnd w:id="26"/>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Compensation Discussion and Analysis</w:t>
      </w:r>
    </w:p>
    <w:p>
      <w:pPr>
        <w:spacing w:after="0" w:line="80"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This CD&amp;A provides a description of the elements and key features of our compensation program, as well as context and rationale for decisions made with respect to the compensation for our "named executive officers" or "NEOs" for the year ended December 31, 2020, who are identified below:</w:t>
      </w:r>
    </w:p>
    <w:p>
      <w:pPr>
        <w:spacing w:after="0" w:line="121" w:lineRule="exact"/>
        <w:rPr>
          <w:sz w:val="20"/>
          <w:szCs w:val="20"/>
          <w:color w:val="auto"/>
        </w:rPr>
      </w:pPr>
    </w:p>
    <w:tbl>
      <w:tblPr>
        <w:tblLayout w:type="fixed"/>
        <w:tblInd w:w="1538" w:type="dxa"/>
        <w:tblCellMar>
          <w:top w:w="0" w:type="dxa"/>
          <w:left w:w="0" w:type="dxa"/>
          <w:bottom w:w="0" w:type="dxa"/>
          <w:right w:w="0" w:type="dxa"/>
        </w:tblCellMar>
      </w:tblPr>
      <w:tr>
        <w:trPr>
          <w:trHeight w:val="151"/>
        </w:trPr>
        <w:tc>
          <w:tcPr>
            <w:tcW w:w="2880" w:type="dxa"/>
            <w:vAlign w:val="bottom"/>
            <w:tcBorders>
              <w:top w:val="single" w:sz="8" w:color="auto"/>
              <w:left w:val="single" w:sz="8" w:color="auto"/>
              <w:bottom w:val="single" w:sz="8" w:color="auto"/>
            </w:tcBorders>
            <w:shd w:val="clear" w:color="auto" w:fill="D9E1F2"/>
          </w:tcPr>
          <w:p>
            <w:pPr>
              <w:ind w:left="1740"/>
              <w:spacing w:after="0"/>
              <w:rPr>
                <w:sz w:val="20"/>
                <w:szCs w:val="20"/>
                <w:color w:val="auto"/>
              </w:rPr>
            </w:pPr>
            <w:r>
              <w:rPr>
                <w:rFonts w:ascii="Arial" w:cs="Arial" w:eastAsia="Arial" w:hAnsi="Arial"/>
                <w:sz w:val="11"/>
                <w:szCs w:val="11"/>
                <w:b w:val="1"/>
                <w:bCs w:val="1"/>
                <w:color w:val="auto"/>
              </w:rPr>
              <w:t>Name</w:t>
            </w:r>
          </w:p>
        </w:tc>
        <w:tc>
          <w:tcPr>
            <w:tcW w:w="5400" w:type="dxa"/>
            <w:vAlign w:val="bottom"/>
            <w:tcBorders>
              <w:top w:val="single" w:sz="8" w:color="auto"/>
              <w:bottom w:val="single" w:sz="8" w:color="auto"/>
              <w:right w:val="single" w:sz="8" w:color="auto"/>
            </w:tcBorders>
            <w:shd w:val="clear" w:color="auto" w:fill="D9E1F2"/>
          </w:tcPr>
          <w:p>
            <w:pPr>
              <w:ind w:left="2700"/>
              <w:spacing w:after="0"/>
              <w:rPr>
                <w:sz w:val="20"/>
                <w:szCs w:val="20"/>
                <w:color w:val="auto"/>
              </w:rPr>
            </w:pPr>
            <w:r>
              <w:rPr>
                <w:rFonts w:ascii="Arial" w:cs="Arial" w:eastAsia="Arial" w:hAnsi="Arial"/>
                <w:sz w:val="11"/>
                <w:szCs w:val="11"/>
                <w:b w:val="1"/>
                <w:bCs w:val="1"/>
                <w:color w:val="auto"/>
              </w:rPr>
              <w:t>Principal Position</w:t>
            </w:r>
          </w:p>
        </w:tc>
      </w:tr>
      <w:tr>
        <w:trPr>
          <w:trHeight w:val="144"/>
        </w:trPr>
        <w:tc>
          <w:tcPr>
            <w:tcW w:w="28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M. Jay Allison</w:t>
            </w:r>
          </w:p>
        </w:tc>
        <w:tc>
          <w:tcPr>
            <w:tcW w:w="5400" w:type="dxa"/>
            <w:vAlign w:val="bottom"/>
            <w:tcBorders>
              <w:right w:val="single" w:sz="8" w:color="auto"/>
            </w:tcBorders>
          </w:tcPr>
          <w:p>
            <w:pPr>
              <w:ind w:left="860"/>
              <w:spacing w:after="0"/>
              <w:rPr>
                <w:sz w:val="20"/>
                <w:szCs w:val="20"/>
                <w:color w:val="auto"/>
              </w:rPr>
            </w:pPr>
            <w:r>
              <w:rPr>
                <w:rFonts w:ascii="Arial" w:cs="Arial" w:eastAsia="Arial" w:hAnsi="Arial"/>
                <w:sz w:val="12"/>
                <w:szCs w:val="12"/>
                <w:color w:val="auto"/>
              </w:rPr>
              <w:t>Chief Executive Officer</w:t>
            </w:r>
          </w:p>
        </w:tc>
      </w:tr>
      <w:tr>
        <w:trPr>
          <w:trHeight w:val="153"/>
        </w:trPr>
        <w:tc>
          <w:tcPr>
            <w:tcW w:w="28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5400" w:type="dxa"/>
            <w:vAlign w:val="bottom"/>
            <w:tcBorders>
              <w:right w:val="single" w:sz="8" w:color="auto"/>
            </w:tcBorders>
            <w:shd w:val="clear" w:color="auto" w:fill="D9E1F2"/>
          </w:tcPr>
          <w:p>
            <w:pPr>
              <w:ind w:left="860"/>
              <w:spacing w:after="0"/>
              <w:rPr>
                <w:sz w:val="20"/>
                <w:szCs w:val="20"/>
                <w:color w:val="auto"/>
              </w:rPr>
            </w:pPr>
            <w:r>
              <w:rPr>
                <w:rFonts w:ascii="Arial" w:cs="Arial" w:eastAsia="Arial" w:hAnsi="Arial"/>
                <w:sz w:val="12"/>
                <w:szCs w:val="12"/>
                <w:color w:val="auto"/>
              </w:rPr>
              <w:t>President and Chief Financial Officer</w:t>
            </w:r>
          </w:p>
        </w:tc>
      </w:tr>
      <w:tr>
        <w:trPr>
          <w:trHeight w:val="153"/>
        </w:trPr>
        <w:tc>
          <w:tcPr>
            <w:tcW w:w="28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S. Harrison</w:t>
            </w:r>
          </w:p>
        </w:tc>
        <w:tc>
          <w:tcPr>
            <w:tcW w:w="5400" w:type="dxa"/>
            <w:vAlign w:val="bottom"/>
            <w:tcBorders>
              <w:right w:val="single" w:sz="8" w:color="auto"/>
            </w:tcBorders>
          </w:tcPr>
          <w:p>
            <w:pPr>
              <w:ind w:left="860"/>
              <w:spacing w:after="0"/>
              <w:rPr>
                <w:sz w:val="20"/>
                <w:szCs w:val="20"/>
                <w:color w:val="auto"/>
              </w:rPr>
            </w:pPr>
            <w:r>
              <w:rPr>
                <w:rFonts w:ascii="Arial" w:cs="Arial" w:eastAsia="Arial" w:hAnsi="Arial"/>
                <w:sz w:val="12"/>
                <w:szCs w:val="12"/>
                <w:color w:val="auto"/>
              </w:rPr>
              <w:t>Chief Operating Officer</w:t>
            </w:r>
          </w:p>
        </w:tc>
      </w:tr>
      <w:tr>
        <w:trPr>
          <w:trHeight w:val="153"/>
        </w:trPr>
        <w:tc>
          <w:tcPr>
            <w:tcW w:w="28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5400" w:type="dxa"/>
            <w:vAlign w:val="bottom"/>
            <w:tcBorders>
              <w:right w:val="single" w:sz="8" w:color="auto"/>
            </w:tcBorders>
            <w:shd w:val="clear" w:color="auto" w:fill="D9E1F2"/>
          </w:tcPr>
          <w:p>
            <w:pPr>
              <w:ind w:left="860"/>
              <w:spacing w:after="0"/>
              <w:rPr>
                <w:sz w:val="20"/>
                <w:szCs w:val="20"/>
                <w:color w:val="auto"/>
              </w:rPr>
            </w:pPr>
            <w:r>
              <w:rPr>
                <w:rFonts w:ascii="Arial" w:cs="Arial" w:eastAsia="Arial" w:hAnsi="Arial"/>
                <w:sz w:val="12"/>
                <w:szCs w:val="12"/>
                <w:color w:val="auto"/>
              </w:rPr>
              <w:t>Senior Vice President of Corporate Development</w:t>
            </w:r>
          </w:p>
        </w:tc>
      </w:tr>
      <w:tr>
        <w:trPr>
          <w:trHeight w:val="153"/>
        </w:trPr>
        <w:tc>
          <w:tcPr>
            <w:tcW w:w="2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Daniel K. Presley</w:t>
            </w:r>
          </w:p>
        </w:tc>
        <w:tc>
          <w:tcPr>
            <w:tcW w:w="540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2"/>
                <w:szCs w:val="12"/>
                <w:color w:val="auto"/>
              </w:rPr>
              <w:t>Vice President of Accounting</w:t>
            </w:r>
          </w:p>
        </w:tc>
      </w:tr>
    </w:tbl>
    <w:p>
      <w:pPr>
        <w:spacing w:after="0" w:line="196" w:lineRule="exact"/>
        <w:rPr>
          <w:sz w:val="20"/>
          <w:szCs w:val="20"/>
          <w:color w:val="auto"/>
        </w:rPr>
      </w:pPr>
    </w:p>
    <w:p>
      <w:pPr>
        <w:jc w:val="both"/>
        <w:ind w:left="8" w:right="20"/>
        <w:spacing w:after="0" w:line="314" w:lineRule="auto"/>
        <w:rPr>
          <w:sz w:val="20"/>
          <w:szCs w:val="20"/>
          <w:color w:val="auto"/>
        </w:rPr>
      </w:pPr>
      <w:r>
        <w:rPr>
          <w:rFonts w:ascii="Arial" w:cs="Arial" w:eastAsia="Arial" w:hAnsi="Arial"/>
          <w:sz w:val="12"/>
          <w:szCs w:val="12"/>
          <w:color w:val="auto"/>
        </w:rPr>
        <w:t>Our executive compensation programs are intended to align pay outcomes with performance achievements, grow stockholder value, attract and retain executive talent and support our business strategy. We believe that our executive compensation programs as currently designed to align our executives' pay with Company performance, stockholder expectations and prevailing market practices.</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2020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4"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Our most significant accomplishment in 2020 was our successful navigation of one of the most difficult years for our industry. Oversupply of natural gas brought about by a warm winter and the onset of the COVID-19 pandemic resulted in weak oil and natural gas prices in 2020. Despite realizing $1.80 per Mcf for our natural gas and $32.36 per barrel for our oil, we still were able to generate profitable financial results and we were able to substantially improve our financial liquidity. Other 2020 accomplishments include:</w:t>
      </w:r>
    </w:p>
    <w:p>
      <w:pPr>
        <w:spacing w:after="0" w:line="94" w:lineRule="exact"/>
        <w:rPr>
          <w:sz w:val="20"/>
          <w:szCs w:val="20"/>
          <w:color w:val="auto"/>
        </w:rPr>
      </w:pPr>
    </w:p>
    <w:p>
      <w:pPr>
        <w:ind w:left="428" w:hanging="212"/>
        <w:spacing w:after="0"/>
        <w:tabs>
          <w:tab w:leader="none" w:pos="428"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Completing an accretive $207 million equity offering, which allowed us to redeem our Series A Preferred Stock and save $21 million per year due to the elimination of dividend payments;</w:t>
      </w:r>
    </w:p>
    <w:p>
      <w:pPr>
        <w:spacing w:after="0" w:line="120" w:lineRule="exact"/>
        <w:rPr>
          <w:rFonts w:ascii="Arial" w:cs="Arial" w:eastAsia="Arial" w:hAnsi="Arial"/>
          <w:sz w:val="13"/>
          <w:szCs w:val="13"/>
          <w:color w:val="auto"/>
        </w:rPr>
      </w:pPr>
    </w:p>
    <w:p>
      <w:pPr>
        <w:ind w:left="428" w:hanging="212"/>
        <w:spacing w:after="0"/>
        <w:tabs>
          <w:tab w:leader="none" w:pos="428"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Completing two successful senior notes offerings totaling $800 million to refinance bank debt, which increased our financial liquidity from $166 million to $930 million;</w:t>
      </w:r>
    </w:p>
    <w:p>
      <w:pPr>
        <w:spacing w:after="0" w:line="129" w:lineRule="exact"/>
        <w:rPr>
          <w:rFonts w:ascii="Arial" w:cs="Arial" w:eastAsia="Arial" w:hAnsi="Arial"/>
          <w:sz w:val="13"/>
          <w:szCs w:val="13"/>
          <w:color w:val="auto"/>
        </w:rPr>
      </w:pPr>
    </w:p>
    <w:p>
      <w:pPr>
        <w:ind w:left="428" w:hanging="212"/>
        <w:spacing w:after="0"/>
        <w:tabs>
          <w:tab w:leader="none" w:pos="428"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Improving our industry leading low operating cost structure;</w:t>
      </w:r>
    </w:p>
    <w:p>
      <w:pPr>
        <w:spacing w:after="0" w:line="120" w:lineRule="exact"/>
        <w:rPr>
          <w:rFonts w:ascii="Arial" w:cs="Arial" w:eastAsia="Arial" w:hAnsi="Arial"/>
          <w:sz w:val="13"/>
          <w:szCs w:val="13"/>
          <w:color w:val="auto"/>
        </w:rPr>
      </w:pPr>
    </w:p>
    <w:p>
      <w:pPr>
        <w:ind w:left="428" w:hanging="212"/>
        <w:spacing w:after="0"/>
        <w:tabs>
          <w:tab w:leader="none" w:pos="428" w:val="left"/>
        </w:tabs>
        <w:numPr>
          <w:ilvl w:val="0"/>
          <w:numId w:val="21"/>
        </w:numPr>
        <w:rPr>
          <w:rFonts w:ascii="Arial" w:cs="Arial" w:eastAsia="Arial" w:hAnsi="Arial"/>
          <w:sz w:val="13"/>
          <w:szCs w:val="13"/>
          <w:color w:val="auto"/>
        </w:rPr>
      </w:pPr>
      <w:r>
        <w:rPr>
          <w:rFonts w:ascii="Arial" w:cs="Arial" w:eastAsia="Arial" w:hAnsi="Arial"/>
          <w:sz w:val="13"/>
          <w:szCs w:val="13"/>
          <w:color w:val="auto"/>
        </w:rPr>
        <w:t>Growing production with a successful drilling program; and</w:t>
      </w:r>
    </w:p>
    <w:p>
      <w:pPr>
        <w:spacing w:after="0" w:line="120" w:lineRule="exact"/>
        <w:rPr>
          <w:rFonts w:ascii="Arial" w:cs="Arial" w:eastAsia="Arial" w:hAnsi="Arial"/>
          <w:sz w:val="13"/>
          <w:szCs w:val="13"/>
          <w:color w:val="auto"/>
        </w:rPr>
      </w:pPr>
    </w:p>
    <w:p>
      <w:pPr>
        <w:ind w:left="428" w:hanging="212"/>
        <w:spacing w:after="0"/>
        <w:tabs>
          <w:tab w:leader="none" w:pos="428" w:val="left"/>
        </w:tabs>
        <w:numPr>
          <w:ilvl w:val="0"/>
          <w:numId w:val="21"/>
        </w:numPr>
        <w:rPr>
          <w:rFonts w:ascii="Arial" w:cs="Arial" w:eastAsia="Arial" w:hAnsi="Arial"/>
          <w:sz w:val="13"/>
          <w:szCs w:val="13"/>
          <w:color w:val="auto"/>
        </w:rPr>
      </w:pPr>
      <w:r>
        <w:rPr>
          <w:rFonts w:ascii="Arial" w:cs="Arial" w:eastAsia="Arial" w:hAnsi="Arial"/>
          <w:sz w:val="13"/>
          <w:szCs w:val="13"/>
          <w:color w:val="auto"/>
        </w:rPr>
        <w:t>Growing our proved reserve base at a low finding cost of $0.66 per Mcfe.</w:t>
      </w:r>
    </w:p>
    <w:p>
      <w:pPr>
        <w:spacing w:after="0" w:line="31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5" w:lineRule="exact"/>
        <w:rPr>
          <w:sz w:val="20"/>
          <w:szCs w:val="20"/>
          <w:color w:val="auto"/>
        </w:rPr>
      </w:pPr>
    </w:p>
    <w:p>
      <w:pPr>
        <w:ind w:left="208" w:right="20" w:hanging="208"/>
        <w:spacing w:after="0" w:line="277" w:lineRule="auto"/>
        <w:tabs>
          <w:tab w:leader="none" w:pos="200" w:val="left"/>
        </w:tabs>
        <w:numPr>
          <w:ilvl w:val="0"/>
          <w:numId w:val="22"/>
        </w:numPr>
        <w:rPr>
          <w:rFonts w:ascii="Arial" w:cs="Arial" w:eastAsia="Arial" w:hAnsi="Arial"/>
          <w:sz w:val="13"/>
          <w:szCs w:val="13"/>
          <w:color w:val="225CAB"/>
        </w:rPr>
      </w:pPr>
      <w:r>
        <w:rPr>
          <w:rFonts w:ascii="Arial" w:cs="Arial" w:eastAsia="Arial" w:hAnsi="Arial"/>
          <w:sz w:val="13"/>
          <w:szCs w:val="13"/>
          <w:b w:val="1"/>
          <w:bCs w:val="1"/>
          <w:color w:val="auto"/>
        </w:rPr>
        <w:t>Aligns pay and performance</w:t>
      </w:r>
      <w:r>
        <w:rPr>
          <w:rFonts w:ascii="Arial" w:cs="Arial" w:eastAsia="Arial" w:hAnsi="Arial"/>
          <w:sz w:val="13"/>
          <w:szCs w:val="13"/>
          <w:color w:val="auto"/>
        </w:rPr>
        <w:t>, by using an annual incentive bonus plan that is weighted heavily on achieving financial performance goals and by providing a portion of our long-term incentive ("LTI") equity</w:t>
      </w:r>
      <w:r>
        <w:rPr>
          <w:rFonts w:ascii="Arial" w:cs="Arial" w:eastAsia="Arial" w:hAnsi="Arial"/>
          <w:sz w:val="13"/>
          <w:szCs w:val="13"/>
          <w:b w:val="1"/>
          <w:bCs w:val="1"/>
          <w:color w:val="auto"/>
        </w:rPr>
        <w:t xml:space="preserve"> </w:t>
      </w:r>
      <w:r>
        <w:rPr>
          <w:rFonts w:ascii="Arial" w:cs="Arial" w:eastAsia="Arial" w:hAnsi="Arial"/>
          <w:sz w:val="13"/>
          <w:szCs w:val="13"/>
          <w:color w:val="auto"/>
        </w:rPr>
        <w:t>awards in performance stock units ("PSUs") based on relative total shareholder return ("TSR") versus our peer group.</w:t>
      </w:r>
    </w:p>
    <w:p>
      <w:pPr>
        <w:spacing w:after="0" w:line="32" w:lineRule="exact"/>
        <w:rPr>
          <w:rFonts w:ascii="Arial" w:cs="Arial" w:eastAsia="Arial" w:hAnsi="Arial"/>
          <w:sz w:val="13"/>
          <w:szCs w:val="13"/>
          <w:color w:val="225CAB"/>
        </w:rPr>
      </w:pPr>
    </w:p>
    <w:p>
      <w:pPr>
        <w:ind w:left="208" w:right="20" w:hanging="208"/>
        <w:spacing w:after="0" w:line="277" w:lineRule="auto"/>
        <w:tabs>
          <w:tab w:leader="none" w:pos="200"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Stockholder friendly performance metrics</w:t>
      </w:r>
      <w:r>
        <w:rPr>
          <w:rFonts w:ascii="Arial" w:cs="Arial" w:eastAsia="Arial" w:hAnsi="Arial"/>
          <w:sz w:val="13"/>
          <w:szCs w:val="13"/>
          <w:color w:val="auto"/>
        </w:rPr>
        <w:t>, which do not focus on absolute growth but instead utilized performance measures for return on equity, free cash flow generation, well cost efficiency, operating</w:t>
      </w:r>
      <w:r>
        <w:rPr>
          <w:rFonts w:ascii="Arial" w:cs="Arial" w:eastAsia="Arial" w:hAnsi="Arial"/>
          <w:sz w:val="13"/>
          <w:szCs w:val="13"/>
          <w:b w:val="1"/>
          <w:bCs w:val="1"/>
          <w:color w:val="auto"/>
        </w:rPr>
        <w:t xml:space="preserve"> </w:t>
      </w:r>
      <w:r>
        <w:rPr>
          <w:rFonts w:ascii="Arial" w:cs="Arial" w:eastAsia="Arial" w:hAnsi="Arial"/>
          <w:sz w:val="13"/>
          <w:szCs w:val="13"/>
          <w:color w:val="auto"/>
        </w:rPr>
        <w:t>efficiency and reserve replacement in 2020.</w:t>
      </w:r>
    </w:p>
    <w:p>
      <w:pPr>
        <w:spacing w:after="0" w:line="32" w:lineRule="exact"/>
        <w:rPr>
          <w:rFonts w:ascii="Arial" w:cs="Arial" w:eastAsia="Arial" w:hAnsi="Arial"/>
          <w:sz w:val="13"/>
          <w:szCs w:val="13"/>
          <w:color w:val="auto"/>
        </w:rPr>
      </w:pPr>
    </w:p>
    <w:p>
      <w:pPr>
        <w:ind w:left="208" w:hanging="208"/>
        <w:spacing w:after="0" w:line="277" w:lineRule="auto"/>
        <w:tabs>
          <w:tab w:leader="none" w:pos="200" w:val="left"/>
        </w:tabs>
        <w:numPr>
          <w:ilvl w:val="0"/>
          <w:numId w:val="22"/>
        </w:numPr>
        <w:rPr>
          <w:rFonts w:ascii="Arial" w:cs="Arial" w:eastAsia="Arial" w:hAnsi="Arial"/>
          <w:sz w:val="13"/>
          <w:szCs w:val="13"/>
          <w:color w:val="225CAB"/>
        </w:rPr>
      </w:pPr>
      <w:r>
        <w:rPr>
          <w:rFonts w:ascii="Arial" w:cs="Arial" w:eastAsia="Arial" w:hAnsi="Arial"/>
          <w:sz w:val="13"/>
          <w:szCs w:val="13"/>
          <w:b w:val="1"/>
          <w:bCs w:val="1"/>
          <w:color w:val="auto"/>
        </w:rPr>
        <w:t>Market competitive</w:t>
      </w:r>
      <w:r>
        <w:rPr>
          <w:rFonts w:ascii="Arial" w:cs="Arial" w:eastAsia="Arial" w:hAnsi="Arial"/>
          <w:sz w:val="13"/>
          <w:szCs w:val="13"/>
          <w:color w:val="auto"/>
        </w:rPr>
        <w:t>, by benchmarking compensation against a peer group of appropriately sized oil and gas exploration and production companies and by using similar pay practices that directly reflect the</w:t>
      </w:r>
      <w:r>
        <w:rPr>
          <w:rFonts w:ascii="Arial" w:cs="Arial" w:eastAsia="Arial" w:hAnsi="Arial"/>
          <w:sz w:val="13"/>
          <w:szCs w:val="13"/>
          <w:b w:val="1"/>
          <w:bCs w:val="1"/>
          <w:color w:val="auto"/>
        </w:rPr>
        <w:t xml:space="preserve"> </w:t>
      </w:r>
      <w:r>
        <w:rPr>
          <w:rFonts w:ascii="Arial" w:cs="Arial" w:eastAsia="Arial" w:hAnsi="Arial"/>
          <w:sz w:val="13"/>
          <w:szCs w:val="13"/>
          <w:color w:val="auto"/>
        </w:rPr>
        <w:t>practices of this peer group.</w:t>
      </w:r>
    </w:p>
    <w:p>
      <w:pPr>
        <w:spacing w:after="0" w:line="32" w:lineRule="exact"/>
        <w:rPr>
          <w:rFonts w:ascii="Arial" w:cs="Arial" w:eastAsia="Arial" w:hAnsi="Arial"/>
          <w:sz w:val="13"/>
          <w:szCs w:val="13"/>
          <w:color w:val="225CAB"/>
        </w:rPr>
      </w:pPr>
    </w:p>
    <w:p>
      <w:pPr>
        <w:ind w:left="208" w:hanging="208"/>
        <w:spacing w:after="0" w:line="277" w:lineRule="auto"/>
        <w:tabs>
          <w:tab w:leader="none" w:pos="200" w:val="left"/>
        </w:tabs>
        <w:numPr>
          <w:ilvl w:val="0"/>
          <w:numId w:val="22"/>
        </w:numPr>
        <w:rPr>
          <w:rFonts w:ascii="Arial" w:cs="Arial" w:eastAsia="Arial" w:hAnsi="Arial"/>
          <w:sz w:val="13"/>
          <w:szCs w:val="13"/>
          <w:color w:val="225CAB"/>
        </w:rPr>
      </w:pPr>
      <w:r>
        <w:rPr>
          <w:rFonts w:ascii="Arial" w:cs="Arial" w:eastAsia="Arial" w:hAnsi="Arial"/>
          <w:sz w:val="13"/>
          <w:szCs w:val="13"/>
          <w:b w:val="1"/>
          <w:bCs w:val="1"/>
          <w:color w:val="auto"/>
        </w:rPr>
        <w:t>Incorporates stockholder interests</w:t>
      </w:r>
      <w:r>
        <w:rPr>
          <w:rFonts w:ascii="Arial" w:cs="Arial" w:eastAsia="Arial" w:hAnsi="Arial"/>
          <w:sz w:val="13"/>
          <w:szCs w:val="13"/>
          <w:color w:val="auto"/>
        </w:rPr>
        <w:t>, by aligning pay with stockholder value creation, through our LTI program, and by holding discussions with large stockholders to obtain their feedback on our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programs and implementing many of their suggestions.</w:t>
      </w: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8"/>
          </w:cols>
          <w:pgMar w:left="292" w:top="131" w:right="299" w:bottom="1440" w:gutter="0" w:footer="0" w:header="0"/>
        </w:sectPr>
      </w:pPr>
    </w:p>
    <w:bookmarkStart w:id="27" w:name="page28"/>
    <w:bookmarkEnd w:id="27"/>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color w:val="225CAB"/>
        </w:rPr>
      </w:pPr>
      <w:r>
        <w:rPr>
          <w:rFonts w:ascii="Arial" w:cs="Arial" w:eastAsia="Arial" w:hAnsi="Arial"/>
          <w:sz w:val="12"/>
          <w:szCs w:val="12"/>
          <w:b w:val="1"/>
          <w:bCs w:val="1"/>
          <w:color w:val="auto"/>
        </w:rPr>
        <w:t>Employs best practices in corporate governance</w:t>
      </w:r>
      <w:r>
        <w:rPr>
          <w:rFonts w:ascii="Arial" w:cs="Arial" w:eastAsia="Arial" w:hAnsi="Arial"/>
          <w:sz w:val="12"/>
          <w:szCs w:val="12"/>
          <w:color w:val="auto"/>
        </w:rPr>
        <w:t>, by adopting stock ownership guidelines, clawback and anti-hedging policies and eliminating excise and other tax gross ups in our compensation plans.</w:t>
      </w:r>
    </w:p>
    <w:p>
      <w:pPr>
        <w:spacing w:after="0" w:line="87" w:lineRule="exact"/>
        <w:rPr>
          <w:rFonts w:ascii="Arial" w:cs="Arial" w:eastAsia="Arial" w:hAnsi="Arial"/>
          <w:sz w:val="12"/>
          <w:szCs w:val="12"/>
          <w:color w:val="225CAB"/>
        </w:rPr>
      </w:pPr>
    </w:p>
    <w:p>
      <w:pPr>
        <w:ind w:left="208" w:hanging="208"/>
        <w:spacing w:after="0"/>
        <w:tabs>
          <w:tab w:leader="none" w:pos="208" w:val="left"/>
        </w:tabs>
        <w:numPr>
          <w:ilvl w:val="0"/>
          <w:numId w:val="23"/>
        </w:numPr>
        <w:rPr>
          <w:rFonts w:ascii="Arial" w:cs="Arial" w:eastAsia="Arial" w:hAnsi="Arial"/>
          <w:sz w:val="13"/>
          <w:szCs w:val="13"/>
          <w:color w:val="225CAB"/>
        </w:rPr>
      </w:pPr>
      <w:r>
        <w:rPr>
          <w:rFonts w:ascii="Arial" w:cs="Arial" w:eastAsia="Arial" w:hAnsi="Arial"/>
          <w:sz w:val="13"/>
          <w:szCs w:val="13"/>
          <w:b w:val="1"/>
          <w:bCs w:val="1"/>
          <w:color w:val="auto"/>
        </w:rPr>
        <w:t xml:space="preserve">Governed by independent directors </w:t>
      </w:r>
      <w:r>
        <w:rPr>
          <w:rFonts w:ascii="Arial" w:cs="Arial" w:eastAsia="Arial" w:hAnsi="Arial"/>
          <w:sz w:val="13"/>
          <w:szCs w:val="13"/>
          <w:color w:val="auto"/>
        </w:rPr>
        <w:t>that are advised by independent consultants.</w:t>
      </w:r>
    </w:p>
    <w:p>
      <w:pPr>
        <w:spacing w:after="0" w:line="3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right="20"/>
        <w:spacing w:after="0" w:line="258" w:lineRule="auto"/>
        <w:rPr>
          <w:sz w:val="20"/>
          <w:szCs w:val="20"/>
          <w:color w:val="auto"/>
        </w:rPr>
      </w:pPr>
      <w:r>
        <w:rPr>
          <w:rFonts w:ascii="Arial" w:cs="Arial" w:eastAsia="Arial" w:hAnsi="Arial"/>
          <w:sz w:val="13"/>
          <w:szCs w:val="13"/>
          <w:color w:val="auto"/>
        </w:rPr>
        <w:t>Our compensation committee has responsibility for establishing and administering the compensation objectives, policies and plans for our executive officers. The compensation program and the executive officers' compensation are determined by the compensation committee. The committee bases its decisions concerning specific compensation elements and total compensation paid or awarded to our executive officers on several different objectives, which include:</w:t>
      </w:r>
    </w:p>
    <w:p>
      <w:pPr>
        <w:spacing w:after="0" w:line="49" w:lineRule="exact"/>
        <w:rPr>
          <w:sz w:val="20"/>
          <w:szCs w:val="20"/>
          <w:color w:val="auto"/>
        </w:rPr>
      </w:pPr>
    </w:p>
    <w:p>
      <w:pPr>
        <w:ind w:left="208" w:hanging="208"/>
        <w:spacing w:after="0"/>
        <w:tabs>
          <w:tab w:leader="none" w:pos="208" w:val="left"/>
        </w:tabs>
        <w:numPr>
          <w:ilvl w:val="0"/>
          <w:numId w:val="24"/>
        </w:numPr>
        <w:rPr>
          <w:rFonts w:ascii="Arial" w:cs="Arial" w:eastAsia="Arial" w:hAnsi="Arial"/>
          <w:sz w:val="13"/>
          <w:szCs w:val="13"/>
          <w:color w:val="225CAB"/>
        </w:rPr>
      </w:pPr>
      <w:r>
        <w:rPr>
          <w:rFonts w:ascii="Arial" w:cs="Arial" w:eastAsia="Arial" w:hAnsi="Arial"/>
          <w:sz w:val="13"/>
          <w:szCs w:val="13"/>
          <w:color w:val="auto"/>
        </w:rPr>
        <w:t>Providing compensation that is competitive with the compensation of companies that have operations similar to us and are in similar markets for executive talent;</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24"/>
        </w:numPr>
        <w:rPr>
          <w:rFonts w:ascii="Arial" w:cs="Arial" w:eastAsia="Arial" w:hAnsi="Arial"/>
          <w:sz w:val="13"/>
          <w:szCs w:val="13"/>
          <w:color w:val="225CAB"/>
        </w:rPr>
      </w:pPr>
      <w:r>
        <w:rPr>
          <w:rFonts w:ascii="Arial" w:cs="Arial" w:eastAsia="Arial" w:hAnsi="Arial"/>
          <w:sz w:val="13"/>
          <w:szCs w:val="13"/>
          <w:color w:val="auto"/>
        </w:rPr>
        <w:t>Encouraging focus on both short-term and long-term performance, promoting stockholder value through strategic business decisions and the achievement of performance objectives;</w:t>
      </w:r>
    </w:p>
    <w:p>
      <w:pPr>
        <w:spacing w:after="0" w:line="75" w:lineRule="exact"/>
        <w:rPr>
          <w:rFonts w:ascii="Arial" w:cs="Arial" w:eastAsia="Arial" w:hAnsi="Arial"/>
          <w:sz w:val="13"/>
          <w:szCs w:val="13"/>
          <w:color w:val="225CAB"/>
        </w:rPr>
      </w:pPr>
    </w:p>
    <w:p>
      <w:pPr>
        <w:ind w:left="208" w:hanging="208"/>
        <w:spacing w:after="0"/>
        <w:tabs>
          <w:tab w:leader="none" w:pos="208" w:val="left"/>
        </w:tabs>
        <w:numPr>
          <w:ilvl w:val="0"/>
          <w:numId w:val="24"/>
        </w:numPr>
        <w:rPr>
          <w:rFonts w:ascii="Arial" w:cs="Arial" w:eastAsia="Arial" w:hAnsi="Arial"/>
          <w:sz w:val="12"/>
          <w:szCs w:val="12"/>
          <w:color w:val="225CAB"/>
        </w:rPr>
      </w:pPr>
      <w:r>
        <w:rPr>
          <w:rFonts w:ascii="Arial" w:cs="Arial" w:eastAsia="Arial" w:hAnsi="Arial"/>
          <w:sz w:val="12"/>
          <w:szCs w:val="12"/>
          <w:color w:val="auto"/>
        </w:rPr>
        <w:t>Providing performance-based incentive compensation intended to vary with company and individual performance, while appropriately moderating the impact of the cyclical nature of our business; and</w:t>
      </w:r>
    </w:p>
    <w:p>
      <w:pPr>
        <w:spacing w:after="0" w:line="87" w:lineRule="exact"/>
        <w:rPr>
          <w:rFonts w:ascii="Arial" w:cs="Arial" w:eastAsia="Arial" w:hAnsi="Arial"/>
          <w:sz w:val="12"/>
          <w:szCs w:val="12"/>
          <w:color w:val="225CAB"/>
        </w:rPr>
      </w:pPr>
    </w:p>
    <w:p>
      <w:pPr>
        <w:ind w:left="208" w:right="20" w:hanging="208"/>
        <w:spacing w:after="0" w:line="271" w:lineRule="auto"/>
        <w:tabs>
          <w:tab w:leader="none" w:pos="200" w:val="left"/>
        </w:tabs>
        <w:numPr>
          <w:ilvl w:val="0"/>
          <w:numId w:val="24"/>
        </w:numPr>
        <w:rPr>
          <w:rFonts w:ascii="Arial" w:cs="Arial" w:eastAsia="Arial" w:hAnsi="Arial"/>
          <w:sz w:val="13"/>
          <w:szCs w:val="13"/>
          <w:color w:val="225CAB"/>
        </w:rPr>
      </w:pPr>
      <w:r>
        <w:rPr>
          <w:rFonts w:ascii="Arial" w:cs="Arial" w:eastAsia="Arial" w:hAnsi="Arial"/>
          <w:sz w:val="13"/>
          <w:szCs w:val="13"/>
          <w:color w:val="auto"/>
        </w:rPr>
        <w:t>Facilitating ownership of our common stock by our executive officers through equity-based incentives so that management's interests are closely aligned with those of stockholders in terms of both risk and reward.</w:t>
      </w:r>
    </w:p>
    <w:p>
      <w:pPr>
        <w:spacing w:after="0" w:line="112" w:lineRule="exact"/>
        <w:rPr>
          <w:sz w:val="20"/>
          <w:szCs w:val="20"/>
          <w:color w:val="auto"/>
        </w:rPr>
      </w:pPr>
    </w:p>
    <w:p>
      <w:pPr>
        <w:ind w:left="8"/>
        <w:spacing w:after="0" w:line="271" w:lineRule="auto"/>
        <w:rPr>
          <w:sz w:val="20"/>
          <w:szCs w:val="20"/>
          <w:color w:val="auto"/>
        </w:rPr>
      </w:pPr>
      <w:r>
        <w:rPr>
          <w:rFonts w:ascii="Arial" w:cs="Arial" w:eastAsia="Arial" w:hAnsi="Arial"/>
          <w:sz w:val="13"/>
          <w:szCs w:val="13"/>
          <w:color w:val="auto"/>
        </w:rPr>
        <w:t>Our compensation committee held four meetings during 2020 and it has met two times to date in 2021. In February 2021, the compensation committee reviewed and approved salaries for 2021 and annual incentive payouts for 2020. In April 2021, the compensation committee and the Board approved the compensation committee report and the inclusion of the CD&amp;A in this proxy statement.</w:t>
      </w:r>
    </w:p>
    <w:p>
      <w:pPr>
        <w:spacing w:after="0" w:line="28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ind w:left="8"/>
        <w:spacing w:after="0" w:line="314" w:lineRule="auto"/>
        <w:rPr>
          <w:sz w:val="20"/>
          <w:szCs w:val="20"/>
          <w:color w:val="auto"/>
        </w:rPr>
      </w:pPr>
      <w:r>
        <w:rPr>
          <w:rFonts w:ascii="Arial" w:cs="Arial" w:eastAsia="Arial" w:hAnsi="Arial"/>
          <w:sz w:val="12"/>
          <w:szCs w:val="12"/>
          <w:color w:val="auto"/>
        </w:rPr>
        <w:t>At the Company's 2020 Annual Meeting of Stockholders, 99.6% of shares present at the meeting for purposes of the proposal were voted to approve, on an advisory basis, the compensation of our named executive officers as disclosed in the proxy statement for that meeting. The next advisory stockholder vote on executive compensation is scheduled to be held at the 2023 Annual Meeting of Stockholders.</w:t>
      </w: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8"/>
          </w:cols>
          <w:pgMar w:left="292" w:top="13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purpose and key features of each component of our executive compensation program are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Borders>
              <w:bottom w:val="single" w:sz="8" w:color="auto"/>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Component</w:t>
            </w:r>
          </w:p>
        </w:tc>
        <w:tc>
          <w:tcPr>
            <w:tcW w:w="1060" w:type="dxa"/>
            <w:vAlign w:val="bottom"/>
            <w:tcBorders>
              <w:bottom w:val="single" w:sz="8" w:color="auto"/>
            </w:tcBorders>
            <w:shd w:val="clear" w:color="auto" w:fill="DBE5F1"/>
          </w:tcPr>
          <w:p>
            <w:pPr>
              <w:ind w:left="540"/>
              <w:spacing w:after="0"/>
              <w:rPr>
                <w:sz w:val="20"/>
                <w:szCs w:val="20"/>
                <w:color w:val="auto"/>
              </w:rPr>
            </w:pPr>
            <w:r>
              <w:rPr>
                <w:rFonts w:ascii="Arial" w:cs="Arial" w:eastAsia="Arial" w:hAnsi="Arial"/>
                <w:sz w:val="11"/>
                <w:szCs w:val="11"/>
                <w:b w:val="1"/>
                <w:bCs w:val="1"/>
                <w:color w:val="auto"/>
              </w:rPr>
              <w:t>Objective</w:t>
            </w:r>
          </w:p>
        </w:tc>
        <w:tc>
          <w:tcPr>
            <w:tcW w:w="280" w:type="dxa"/>
            <w:vAlign w:val="bottom"/>
            <w:tcBorders>
              <w:bottom w:val="single" w:sz="8" w:color="auto"/>
            </w:tcBorders>
            <w:shd w:val="clear" w:color="auto" w:fill="DBE5F1"/>
          </w:tcPr>
          <w:p>
            <w:pPr>
              <w:spacing w:after="0"/>
              <w:rPr>
                <w:sz w:val="13"/>
                <w:szCs w:val="13"/>
                <w:color w:val="auto"/>
              </w:rPr>
            </w:pPr>
          </w:p>
        </w:tc>
        <w:tc>
          <w:tcPr>
            <w:tcW w:w="1060" w:type="dxa"/>
            <w:vAlign w:val="bottom"/>
            <w:tcBorders>
              <w:bottom w:val="single" w:sz="8" w:color="auto"/>
            </w:tcBorders>
            <w:shd w:val="clear" w:color="auto" w:fill="DBE5F1"/>
          </w:tcPr>
          <w:p>
            <w:pPr>
              <w:spacing w:after="0"/>
              <w:rPr>
                <w:sz w:val="13"/>
                <w:szCs w:val="13"/>
                <w:color w:val="auto"/>
              </w:rPr>
            </w:pPr>
          </w:p>
        </w:tc>
        <w:tc>
          <w:tcPr>
            <w:tcW w:w="280" w:type="dxa"/>
            <w:vAlign w:val="bottom"/>
            <w:tcBorders>
              <w:bottom w:val="single" w:sz="8" w:color="auto"/>
            </w:tcBorders>
            <w:shd w:val="clear" w:color="auto" w:fill="DBE5F1"/>
          </w:tcPr>
          <w:p>
            <w:pPr>
              <w:spacing w:after="0"/>
              <w:rPr>
                <w:sz w:val="13"/>
                <w:szCs w:val="13"/>
                <w:color w:val="auto"/>
              </w:rPr>
            </w:pPr>
          </w:p>
        </w:tc>
        <w:tc>
          <w:tcPr>
            <w:tcW w:w="840" w:type="dxa"/>
            <w:vAlign w:val="bottom"/>
            <w:tcBorders>
              <w:bottom w:val="single" w:sz="8" w:color="auto"/>
            </w:tcBorders>
            <w:shd w:val="clear" w:color="auto" w:fill="DBE5F1"/>
          </w:tcPr>
          <w:p>
            <w:pPr>
              <w:spacing w:after="0"/>
              <w:rPr>
                <w:sz w:val="13"/>
                <w:szCs w:val="13"/>
                <w:color w:val="auto"/>
              </w:rPr>
            </w:pPr>
          </w:p>
        </w:tc>
        <w:tc>
          <w:tcPr>
            <w:tcW w:w="5860" w:type="dxa"/>
            <w:vAlign w:val="bottom"/>
            <w:tcBorders>
              <w:bottom w:val="single" w:sz="8" w:color="auto"/>
            </w:tcBorders>
            <w:shd w:val="clear" w:color="auto" w:fill="DBE5F1"/>
          </w:tcPr>
          <w:p>
            <w:pPr>
              <w:ind w:left="1440"/>
              <w:spacing w:after="0"/>
              <w:rPr>
                <w:sz w:val="20"/>
                <w:szCs w:val="20"/>
                <w:color w:val="auto"/>
              </w:rPr>
            </w:pPr>
            <w:r>
              <w:rPr>
                <w:rFonts w:ascii="Arial" w:cs="Arial" w:eastAsia="Arial" w:hAnsi="Arial"/>
                <w:sz w:val="11"/>
                <w:szCs w:val="11"/>
                <w:b w:val="1"/>
                <w:bCs w:val="1"/>
                <w:color w:val="auto"/>
              </w:rPr>
              <w:t>Key Features</w:t>
            </w:r>
          </w:p>
        </w:tc>
      </w:tr>
      <w:tr>
        <w:trPr>
          <w:trHeight w:val="149"/>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Base Salary</w:t>
            </w:r>
          </w:p>
        </w:tc>
        <w:tc>
          <w:tcPr>
            <w:tcW w:w="1060" w:type="dxa"/>
            <w:vAlign w:val="bottom"/>
          </w:tcPr>
          <w:p>
            <w:pPr>
              <w:ind w:left="540"/>
              <w:spacing w:after="0"/>
              <w:rPr>
                <w:sz w:val="20"/>
                <w:szCs w:val="20"/>
                <w:color w:val="auto"/>
              </w:rPr>
            </w:pPr>
            <w:r>
              <w:rPr>
                <w:rFonts w:ascii="Arial" w:cs="Arial" w:eastAsia="Arial" w:hAnsi="Arial"/>
                <w:sz w:val="13"/>
                <w:szCs w:val="13"/>
                <w:color w:val="auto"/>
              </w:rPr>
              <w:t>Reflects</w:t>
            </w:r>
          </w:p>
        </w:tc>
        <w:tc>
          <w:tcPr>
            <w:tcW w:w="280" w:type="dxa"/>
            <w:vAlign w:val="bottom"/>
          </w:tcPr>
          <w:p>
            <w:pPr>
              <w:ind w:left="20"/>
              <w:spacing w:after="0"/>
              <w:rPr>
                <w:sz w:val="20"/>
                <w:szCs w:val="20"/>
                <w:color w:val="auto"/>
              </w:rPr>
            </w:pPr>
            <w:r>
              <w:rPr>
                <w:rFonts w:ascii="Arial" w:cs="Arial" w:eastAsia="Arial" w:hAnsi="Arial"/>
                <w:sz w:val="13"/>
                <w:szCs w:val="13"/>
                <w:color w:val="auto"/>
                <w:w w:val="84"/>
              </w:rPr>
              <w:t>each</w:t>
            </w:r>
          </w:p>
        </w:tc>
        <w:tc>
          <w:tcPr>
            <w:tcW w:w="1060" w:type="dxa"/>
            <w:vAlign w:val="bottom"/>
          </w:tcPr>
          <w:p>
            <w:pPr>
              <w:ind w:left="80"/>
              <w:spacing w:after="0"/>
              <w:rPr>
                <w:sz w:val="20"/>
                <w:szCs w:val="20"/>
                <w:color w:val="auto"/>
              </w:rPr>
            </w:pPr>
            <w:r>
              <w:rPr>
                <w:rFonts w:ascii="Arial" w:cs="Arial" w:eastAsia="Arial" w:hAnsi="Arial"/>
                <w:sz w:val="13"/>
                <w:szCs w:val="13"/>
                <w:color w:val="auto"/>
                <w:w w:val="98"/>
              </w:rPr>
              <w:t>executive's  level</w:t>
            </w:r>
          </w:p>
        </w:tc>
        <w:tc>
          <w:tcPr>
            <w:tcW w:w="280" w:type="dxa"/>
            <w:vAlign w:val="bottom"/>
          </w:tcPr>
          <w:p>
            <w:pPr>
              <w:ind w:left="80"/>
              <w:spacing w:after="0"/>
              <w:rPr>
                <w:sz w:val="20"/>
                <w:szCs w:val="20"/>
                <w:color w:val="auto"/>
              </w:rPr>
            </w:pPr>
            <w:r>
              <w:rPr>
                <w:rFonts w:ascii="Arial" w:cs="Arial" w:eastAsia="Arial" w:hAnsi="Arial"/>
                <w:sz w:val="13"/>
                <w:szCs w:val="13"/>
                <w:color w:val="auto"/>
              </w:rPr>
              <w:t>of</w:t>
            </w:r>
          </w:p>
        </w:tc>
        <w:tc>
          <w:tcPr>
            <w:tcW w:w="840" w:type="dxa"/>
            <w:vAlign w:val="bottom"/>
          </w:tcPr>
          <w:p>
            <w:pPr>
              <w:ind w:left="20"/>
              <w:spacing w:after="0"/>
              <w:rPr>
                <w:sz w:val="20"/>
                <w:szCs w:val="20"/>
                <w:color w:val="auto"/>
              </w:rPr>
            </w:pPr>
            <w:r>
              <w:rPr>
                <w:rFonts w:ascii="Arial" w:cs="Arial" w:eastAsia="Arial" w:hAnsi="Arial"/>
                <w:sz w:val="13"/>
                <w:szCs w:val="13"/>
                <w:color w:val="auto"/>
              </w:rPr>
              <w:t>responsibility,</w:t>
            </w:r>
          </w:p>
        </w:tc>
        <w:tc>
          <w:tcPr>
            <w:tcW w:w="5860" w:type="dxa"/>
            <w:vAlign w:val="bottom"/>
          </w:tcPr>
          <w:p>
            <w:pPr>
              <w:ind w:left="40"/>
              <w:spacing w:after="0"/>
              <w:rPr>
                <w:sz w:val="20"/>
                <w:szCs w:val="20"/>
                <w:color w:val="auto"/>
              </w:rPr>
            </w:pPr>
            <w:r>
              <w:rPr>
                <w:rFonts w:ascii="Arial" w:cs="Arial" w:eastAsia="Arial" w:hAnsi="Arial"/>
                <w:sz w:val="13"/>
                <w:szCs w:val="13"/>
                <w:color w:val="auto"/>
              </w:rPr>
              <w:t>leadership,  tenure,  and Fixed compensation that is reviewed annually and adjusted as appropriate.</w:t>
            </w:r>
          </w:p>
        </w:tc>
      </w:tr>
      <w:tr>
        <w:trPr>
          <w:trHeight w:val="153"/>
        </w:trPr>
        <w:tc>
          <w:tcPr>
            <w:tcW w:w="1920" w:type="dxa"/>
            <w:vAlign w:val="bottom"/>
          </w:tcPr>
          <w:p>
            <w:pPr>
              <w:spacing w:after="0"/>
              <w:rPr>
                <w:sz w:val="13"/>
                <w:szCs w:val="13"/>
                <w:color w:val="auto"/>
              </w:rPr>
            </w:pPr>
          </w:p>
        </w:tc>
        <w:tc>
          <w:tcPr>
            <w:tcW w:w="9380" w:type="dxa"/>
            <w:vAlign w:val="bottom"/>
            <w:gridSpan w:val="6"/>
          </w:tcPr>
          <w:p>
            <w:pPr>
              <w:ind w:left="540"/>
              <w:spacing w:after="0"/>
              <w:rPr>
                <w:sz w:val="20"/>
                <w:szCs w:val="20"/>
                <w:color w:val="auto"/>
              </w:rPr>
            </w:pPr>
            <w:r>
              <w:rPr>
                <w:rFonts w:ascii="Arial" w:cs="Arial" w:eastAsia="Arial" w:hAnsi="Arial"/>
                <w:sz w:val="13"/>
                <w:szCs w:val="13"/>
                <w:color w:val="auto"/>
              </w:rPr>
              <w:t>contribution to the achievement of the Company's business objectives and is</w:t>
            </w:r>
          </w:p>
        </w:tc>
      </w:tr>
      <w:tr>
        <w:trPr>
          <w:trHeight w:val="166"/>
        </w:trPr>
        <w:tc>
          <w:tcPr>
            <w:tcW w:w="1920" w:type="dxa"/>
            <w:vAlign w:val="bottom"/>
          </w:tcPr>
          <w:p>
            <w:pPr>
              <w:spacing w:after="0"/>
              <w:rPr>
                <w:sz w:val="14"/>
                <w:szCs w:val="14"/>
                <w:color w:val="auto"/>
              </w:rPr>
            </w:pPr>
          </w:p>
        </w:tc>
        <w:tc>
          <w:tcPr>
            <w:tcW w:w="3520" w:type="dxa"/>
            <w:vAlign w:val="bottom"/>
            <w:gridSpan w:val="5"/>
          </w:tcPr>
          <w:p>
            <w:pPr>
              <w:ind w:left="540"/>
              <w:spacing w:after="0"/>
              <w:rPr>
                <w:sz w:val="20"/>
                <w:szCs w:val="20"/>
                <w:color w:val="auto"/>
              </w:rPr>
            </w:pPr>
            <w:r>
              <w:rPr>
                <w:rFonts w:ascii="Arial" w:cs="Arial" w:eastAsia="Arial" w:hAnsi="Arial"/>
                <w:sz w:val="13"/>
                <w:szCs w:val="13"/>
                <w:color w:val="auto"/>
              </w:rPr>
              <w:t>designed to be competitive with our peer group</w:t>
            </w:r>
          </w:p>
        </w:tc>
        <w:tc>
          <w:tcPr>
            <w:tcW w:w="5860" w:type="dxa"/>
            <w:vAlign w:val="bottom"/>
          </w:tcPr>
          <w:p>
            <w:pPr>
              <w:spacing w:after="0"/>
              <w:rPr>
                <w:sz w:val="14"/>
                <w:szCs w:val="14"/>
                <w:color w:val="auto"/>
              </w:rPr>
            </w:pPr>
          </w:p>
        </w:tc>
      </w:tr>
      <w:tr>
        <w:trPr>
          <w:trHeight w:val="221"/>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Annual Incentive Award</w:t>
            </w:r>
          </w:p>
        </w:tc>
        <w:tc>
          <w:tcPr>
            <w:tcW w:w="9380" w:type="dxa"/>
            <w:vAlign w:val="bottom"/>
            <w:gridSpan w:val="6"/>
          </w:tcPr>
          <w:p>
            <w:pPr>
              <w:ind w:left="540"/>
              <w:spacing w:after="0"/>
              <w:rPr>
                <w:sz w:val="20"/>
                <w:szCs w:val="20"/>
                <w:color w:val="auto"/>
              </w:rPr>
            </w:pPr>
            <w:r>
              <w:rPr>
                <w:rFonts w:ascii="Arial" w:cs="Arial" w:eastAsia="Arial" w:hAnsi="Arial"/>
                <w:sz w:val="13"/>
                <w:szCs w:val="13"/>
                <w:color w:val="auto"/>
                <w:w w:val="92"/>
              </w:rPr>
              <w:t>Measures and rewards achievement of short-term performance goals that apply to Performance-based cash incentives are based on the achievement of performance</w:t>
            </w:r>
          </w:p>
        </w:tc>
      </w:tr>
      <w:tr>
        <w:trPr>
          <w:trHeight w:val="166"/>
        </w:trPr>
        <w:tc>
          <w:tcPr>
            <w:tcW w:w="1920" w:type="dxa"/>
            <w:vAlign w:val="bottom"/>
          </w:tcPr>
          <w:p>
            <w:pPr>
              <w:spacing w:after="0"/>
              <w:rPr>
                <w:sz w:val="14"/>
                <w:szCs w:val="14"/>
                <w:color w:val="auto"/>
              </w:rPr>
            </w:pPr>
          </w:p>
        </w:tc>
        <w:tc>
          <w:tcPr>
            <w:tcW w:w="2400" w:type="dxa"/>
            <w:vAlign w:val="bottom"/>
            <w:gridSpan w:val="3"/>
          </w:tcPr>
          <w:p>
            <w:pPr>
              <w:ind w:left="540"/>
              <w:spacing w:after="0"/>
              <w:rPr>
                <w:sz w:val="20"/>
                <w:szCs w:val="20"/>
                <w:color w:val="auto"/>
              </w:rPr>
            </w:pPr>
            <w:r>
              <w:rPr>
                <w:rFonts w:ascii="Arial" w:cs="Arial" w:eastAsia="Arial" w:hAnsi="Arial"/>
                <w:sz w:val="13"/>
                <w:szCs w:val="13"/>
                <w:color w:val="auto"/>
              </w:rPr>
              <w:t>the annual business plan</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60" w:type="dxa"/>
            <w:vAlign w:val="bottom"/>
          </w:tcPr>
          <w:p>
            <w:pPr>
              <w:ind w:left="1440"/>
              <w:spacing w:after="0"/>
              <w:rPr>
                <w:sz w:val="20"/>
                <w:szCs w:val="20"/>
                <w:color w:val="auto"/>
              </w:rPr>
            </w:pPr>
            <w:r>
              <w:rPr>
                <w:rFonts w:ascii="Arial" w:cs="Arial" w:eastAsia="Arial" w:hAnsi="Arial"/>
                <w:sz w:val="13"/>
                <w:szCs w:val="13"/>
                <w:color w:val="auto"/>
              </w:rPr>
              <w:t>goals.</w:t>
            </w:r>
          </w:p>
        </w:tc>
      </w:tr>
      <w:tr>
        <w:trPr>
          <w:trHeight w:val="221"/>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Restricted Stock Awards</w:t>
            </w:r>
          </w:p>
        </w:tc>
        <w:tc>
          <w:tcPr>
            <w:tcW w:w="1060" w:type="dxa"/>
            <w:vAlign w:val="bottom"/>
          </w:tcPr>
          <w:p>
            <w:pPr>
              <w:ind w:left="540"/>
              <w:spacing w:after="0"/>
              <w:rPr>
                <w:sz w:val="20"/>
                <w:szCs w:val="20"/>
                <w:color w:val="auto"/>
              </w:rPr>
            </w:pPr>
            <w:r>
              <w:rPr>
                <w:rFonts w:ascii="Arial" w:cs="Arial" w:eastAsia="Arial" w:hAnsi="Arial"/>
                <w:sz w:val="13"/>
                <w:szCs w:val="13"/>
                <w:color w:val="auto"/>
                <w:w w:val="89"/>
              </w:rPr>
              <w:t>Motivates</w:t>
            </w:r>
          </w:p>
        </w:tc>
        <w:tc>
          <w:tcPr>
            <w:tcW w:w="280" w:type="dxa"/>
            <w:vAlign w:val="bottom"/>
          </w:tcPr>
          <w:p>
            <w:pPr>
              <w:ind w:left="60"/>
              <w:spacing w:after="0"/>
              <w:rPr>
                <w:sz w:val="20"/>
                <w:szCs w:val="20"/>
                <w:color w:val="auto"/>
              </w:rPr>
            </w:pPr>
            <w:r>
              <w:rPr>
                <w:rFonts w:ascii="Arial" w:cs="Arial" w:eastAsia="Arial" w:hAnsi="Arial"/>
                <w:sz w:val="13"/>
                <w:szCs w:val="13"/>
                <w:color w:val="auto"/>
              </w:rPr>
              <w:t>our</w:t>
            </w:r>
          </w:p>
        </w:tc>
        <w:tc>
          <w:tcPr>
            <w:tcW w:w="1060" w:type="dxa"/>
            <w:vAlign w:val="bottom"/>
          </w:tcPr>
          <w:p>
            <w:pPr>
              <w:ind w:left="40"/>
              <w:spacing w:after="0"/>
              <w:rPr>
                <w:sz w:val="20"/>
                <w:szCs w:val="20"/>
                <w:color w:val="auto"/>
              </w:rPr>
            </w:pPr>
            <w:r>
              <w:rPr>
                <w:rFonts w:ascii="Arial" w:cs="Arial" w:eastAsia="Arial" w:hAnsi="Arial"/>
                <w:sz w:val="13"/>
                <w:szCs w:val="13"/>
                <w:color w:val="auto"/>
                <w:w w:val="99"/>
              </w:rPr>
              <w:t>executive officers</w:t>
            </w:r>
          </w:p>
        </w:tc>
        <w:tc>
          <w:tcPr>
            <w:tcW w:w="6980" w:type="dxa"/>
            <w:vAlign w:val="bottom"/>
            <w:gridSpan w:val="3"/>
          </w:tcPr>
          <w:p>
            <w:pPr>
              <w:ind w:left="20"/>
              <w:spacing w:after="0"/>
              <w:rPr>
                <w:sz w:val="20"/>
                <w:szCs w:val="20"/>
                <w:color w:val="auto"/>
              </w:rPr>
            </w:pPr>
            <w:r>
              <w:rPr>
                <w:rFonts w:ascii="Arial" w:cs="Arial" w:eastAsia="Arial" w:hAnsi="Arial"/>
                <w:sz w:val="13"/>
                <w:szCs w:val="13"/>
                <w:color w:val="auto"/>
                <w:w w:val="99"/>
              </w:rPr>
              <w:t>to achieve our business objectives by tying Restricted stock awards which vest over three years under which the ultimate</w:t>
            </w:r>
          </w:p>
        </w:tc>
      </w:tr>
      <w:tr>
        <w:trPr>
          <w:trHeight w:val="153"/>
        </w:trPr>
        <w:tc>
          <w:tcPr>
            <w:tcW w:w="1920" w:type="dxa"/>
            <w:vAlign w:val="bottom"/>
          </w:tcPr>
          <w:p>
            <w:pPr>
              <w:spacing w:after="0"/>
              <w:rPr>
                <w:sz w:val="13"/>
                <w:szCs w:val="13"/>
                <w:color w:val="auto"/>
              </w:rPr>
            </w:pPr>
          </w:p>
        </w:tc>
        <w:tc>
          <w:tcPr>
            <w:tcW w:w="9380" w:type="dxa"/>
            <w:vAlign w:val="bottom"/>
            <w:gridSpan w:val="6"/>
          </w:tcPr>
          <w:p>
            <w:pPr>
              <w:ind w:left="540"/>
              <w:spacing w:after="0"/>
              <w:rPr>
                <w:sz w:val="20"/>
                <w:szCs w:val="20"/>
                <w:color w:val="auto"/>
              </w:rPr>
            </w:pPr>
            <w:r>
              <w:rPr>
                <w:rFonts w:ascii="Arial" w:cs="Arial" w:eastAsia="Arial" w:hAnsi="Arial"/>
                <w:sz w:val="13"/>
                <w:szCs w:val="13"/>
                <w:color w:val="auto"/>
                <w:w w:val="97"/>
              </w:rPr>
              <w:t>incentives to the performance of our common stock over the long term; motivates value realized varies with our common stock price. Restricted stock awards</w:t>
            </w:r>
          </w:p>
        </w:tc>
      </w:tr>
      <w:tr>
        <w:trPr>
          <w:trHeight w:val="153"/>
        </w:trPr>
        <w:tc>
          <w:tcPr>
            <w:tcW w:w="1920" w:type="dxa"/>
            <w:vAlign w:val="bottom"/>
          </w:tcPr>
          <w:p>
            <w:pPr>
              <w:spacing w:after="0"/>
              <w:rPr>
                <w:sz w:val="13"/>
                <w:szCs w:val="13"/>
                <w:color w:val="auto"/>
              </w:rPr>
            </w:pPr>
          </w:p>
        </w:tc>
        <w:tc>
          <w:tcPr>
            <w:tcW w:w="2400" w:type="dxa"/>
            <w:vAlign w:val="bottom"/>
            <w:gridSpan w:val="3"/>
          </w:tcPr>
          <w:p>
            <w:pPr>
              <w:ind w:left="540"/>
              <w:spacing w:after="0"/>
              <w:rPr>
                <w:sz w:val="20"/>
                <w:szCs w:val="20"/>
                <w:color w:val="auto"/>
              </w:rPr>
            </w:pPr>
            <w:r>
              <w:rPr>
                <w:rFonts w:ascii="Arial" w:cs="Arial" w:eastAsia="Arial" w:hAnsi="Arial"/>
                <w:sz w:val="13"/>
                <w:szCs w:val="13"/>
                <w:color w:val="auto"/>
              </w:rPr>
              <w:t>our executive officers to remain</w:t>
            </w:r>
          </w:p>
        </w:tc>
        <w:tc>
          <w:tcPr>
            <w:tcW w:w="280" w:type="dxa"/>
            <w:vAlign w:val="bottom"/>
          </w:tcPr>
          <w:p>
            <w:pPr>
              <w:ind w:left="40"/>
              <w:spacing w:after="0"/>
              <w:rPr>
                <w:sz w:val="20"/>
                <w:szCs w:val="20"/>
                <w:color w:val="auto"/>
              </w:rPr>
            </w:pPr>
            <w:r>
              <w:rPr>
                <w:rFonts w:ascii="Arial" w:cs="Arial" w:eastAsia="Arial" w:hAnsi="Arial"/>
                <w:sz w:val="13"/>
                <w:szCs w:val="13"/>
                <w:color w:val="auto"/>
                <w:w w:val="94"/>
              </w:rPr>
              <w:t>with</w:t>
            </w:r>
          </w:p>
        </w:tc>
        <w:tc>
          <w:tcPr>
            <w:tcW w:w="840" w:type="dxa"/>
            <w:vAlign w:val="bottom"/>
          </w:tcPr>
          <w:p>
            <w:pPr>
              <w:ind w:left="60"/>
              <w:spacing w:after="0"/>
              <w:rPr>
                <w:sz w:val="20"/>
                <w:szCs w:val="20"/>
                <w:color w:val="auto"/>
              </w:rPr>
            </w:pPr>
            <w:r>
              <w:rPr>
                <w:rFonts w:ascii="Arial" w:cs="Arial" w:eastAsia="Arial" w:hAnsi="Arial"/>
                <w:sz w:val="13"/>
                <w:szCs w:val="13"/>
                <w:color w:val="auto"/>
                <w:w w:val="98"/>
              </w:rPr>
              <w:t>the Company</w:t>
            </w:r>
          </w:p>
        </w:tc>
        <w:tc>
          <w:tcPr>
            <w:tcW w:w="5860" w:type="dxa"/>
            <w:vAlign w:val="bottom"/>
          </w:tcPr>
          <w:p>
            <w:pPr>
              <w:ind w:left="40"/>
              <w:spacing w:after="0"/>
              <w:rPr>
                <w:sz w:val="20"/>
                <w:szCs w:val="20"/>
                <w:color w:val="auto"/>
              </w:rPr>
            </w:pPr>
            <w:r>
              <w:rPr>
                <w:rFonts w:ascii="Arial" w:cs="Arial" w:eastAsia="Arial" w:hAnsi="Arial"/>
                <w:sz w:val="13"/>
                <w:szCs w:val="13"/>
                <w:color w:val="auto"/>
              </w:rPr>
              <w:t>by mitigating swings in represent 50% of our executive officers' LTI awards.</w:t>
            </w:r>
          </w:p>
        </w:tc>
      </w:tr>
      <w:tr>
        <w:trPr>
          <w:trHeight w:val="166"/>
        </w:trPr>
        <w:tc>
          <w:tcPr>
            <w:tcW w:w="1920" w:type="dxa"/>
            <w:vAlign w:val="bottom"/>
          </w:tcPr>
          <w:p>
            <w:pPr>
              <w:spacing w:after="0"/>
              <w:rPr>
                <w:sz w:val="14"/>
                <w:szCs w:val="14"/>
                <w:color w:val="auto"/>
              </w:rPr>
            </w:pPr>
          </w:p>
        </w:tc>
        <w:tc>
          <w:tcPr>
            <w:tcW w:w="9380" w:type="dxa"/>
            <w:vAlign w:val="bottom"/>
            <w:gridSpan w:val="6"/>
          </w:tcPr>
          <w:p>
            <w:pPr>
              <w:ind w:left="540"/>
              <w:spacing w:after="0"/>
              <w:rPr>
                <w:sz w:val="20"/>
                <w:szCs w:val="20"/>
                <w:color w:val="auto"/>
              </w:rPr>
            </w:pPr>
            <w:r>
              <w:rPr>
                <w:rFonts w:ascii="Arial" w:cs="Arial" w:eastAsia="Arial" w:hAnsi="Arial"/>
                <w:sz w:val="13"/>
                <w:szCs w:val="13"/>
                <w:color w:val="auto"/>
              </w:rPr>
              <w:t>incentive values during periods of high commodity price volatility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-1092200</wp:posOffset>
            </wp:positionV>
            <wp:extent cx="7183755" cy="2400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240030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p>
      <w:pPr>
        <w:spacing w:after="0" w:line="55" w:lineRule="exact"/>
        <w:rPr>
          <w:sz w:val="20"/>
          <w:szCs w:val="20"/>
          <w:color w:val="auto"/>
        </w:rPr>
      </w:pPr>
    </w:p>
    <w:p>
      <w:pPr>
        <w:ind w:left="20"/>
        <w:spacing w:after="0" w:line="237" w:lineRule="auto"/>
        <w:rPr>
          <w:sz w:val="20"/>
          <w:szCs w:val="20"/>
          <w:color w:val="auto"/>
        </w:rPr>
      </w:pPr>
      <w:r>
        <w:rPr>
          <w:rFonts w:ascii="Arial" w:cs="Arial" w:eastAsia="Arial" w:hAnsi="Arial"/>
          <w:sz w:val="13"/>
          <w:szCs w:val="13"/>
          <w:b w:val="1"/>
          <w:bCs w:val="1"/>
          <w:color w:val="auto"/>
        </w:rPr>
        <w:t>Performance-based Restricted Stock Unit Awards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Executive Life Insurance Program</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Employment Agreements</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Other Benefits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auto"/>
        </w:rPr>
        <w:t>Aligns the long-term interests of our executive officers with our stockholders by Performance-based LTI awards represent 50% of our executive officers' LTI determining the number of shares earned for each performance period based on awards. The ultimate number of units earned is based on the achievement of our</w:t>
      </w:r>
    </w:p>
    <w:p>
      <w:pPr>
        <w:spacing w:after="0" w:line="1" w:lineRule="exact"/>
        <w:rPr>
          <w:sz w:val="20"/>
          <w:szCs w:val="20"/>
          <w:color w:val="auto"/>
        </w:rPr>
      </w:pPr>
    </w:p>
    <w:p>
      <w:pPr>
        <w:spacing w:after="0"/>
        <w:tabs>
          <w:tab w:leader="none" w:pos="4400" w:val="left"/>
        </w:tabs>
        <w:rPr>
          <w:sz w:val="20"/>
          <w:szCs w:val="20"/>
          <w:color w:val="auto"/>
        </w:rPr>
      </w:pPr>
      <w:r>
        <w:rPr>
          <w:rFonts w:ascii="Arial" w:cs="Arial" w:eastAsia="Arial" w:hAnsi="Arial"/>
          <w:sz w:val="13"/>
          <w:szCs w:val="13"/>
          <w:color w:val="auto"/>
        </w:rPr>
        <w:t>our TSR relative to our peer group</w:t>
      </w:r>
      <w:r>
        <w:rPr>
          <w:sz w:val="20"/>
          <w:szCs w:val="20"/>
          <w:color w:val="auto"/>
        </w:rPr>
        <w:tab/>
      </w:r>
      <w:r>
        <w:rPr>
          <w:rFonts w:ascii="Arial" w:cs="Arial" w:eastAsia="Arial" w:hAnsi="Arial"/>
          <w:sz w:val="11"/>
          <w:szCs w:val="11"/>
          <w:color w:val="auto"/>
        </w:rPr>
        <w:t>TSR relative to the peer group.</w:t>
      </w:r>
    </w:p>
    <w:p>
      <w:pPr>
        <w:spacing w:after="0" w:line="75" w:lineRule="exact"/>
        <w:rPr>
          <w:sz w:val="20"/>
          <w:szCs w:val="20"/>
          <w:color w:val="auto"/>
        </w:rPr>
      </w:pPr>
    </w:p>
    <w:p>
      <w:pPr>
        <w:ind w:left="4420" w:right="40" w:hanging="4427"/>
        <w:spacing w:after="0" w:line="271" w:lineRule="auto"/>
        <w:rPr>
          <w:sz w:val="20"/>
          <w:szCs w:val="20"/>
          <w:color w:val="auto"/>
        </w:rPr>
      </w:pPr>
      <w:r>
        <w:rPr>
          <w:rFonts w:ascii="Arial" w:cs="Arial" w:eastAsia="Arial" w:hAnsi="Arial"/>
          <w:sz w:val="13"/>
          <w:szCs w:val="13"/>
          <w:color w:val="auto"/>
        </w:rPr>
        <w:t>Provides life insurance protection and retirement savings for our executive officers The Company's contributions each year equal 5% of each executive's salary and prior year's bonus, used to purchase life insurance coverage.</w:t>
      </w:r>
    </w:p>
    <w:p>
      <w:pPr>
        <w:spacing w:after="0" w:line="49" w:lineRule="exact"/>
        <w:rPr>
          <w:sz w:val="20"/>
          <w:szCs w:val="20"/>
          <w:color w:val="auto"/>
        </w:rPr>
      </w:pPr>
    </w:p>
    <w:p>
      <w:pPr>
        <w:spacing w:after="0"/>
        <w:tabs>
          <w:tab w:leader="none" w:pos="520" w:val="left"/>
          <w:tab w:leader="none" w:pos="1100" w:val="left"/>
          <w:tab w:leader="none" w:pos="1840" w:val="left"/>
          <w:tab w:leader="none" w:pos="2860" w:val="left"/>
          <w:tab w:leader="none" w:pos="3740" w:val="left"/>
          <w:tab w:leader="none" w:pos="3980" w:val="left"/>
        </w:tabs>
        <w:rPr>
          <w:sz w:val="20"/>
          <w:szCs w:val="20"/>
          <w:color w:val="auto"/>
        </w:rPr>
      </w:pPr>
      <w:r>
        <w:rPr>
          <w:rFonts w:ascii="Arial" w:cs="Arial" w:eastAsia="Arial" w:hAnsi="Arial"/>
          <w:sz w:val="13"/>
          <w:szCs w:val="13"/>
          <w:color w:val="auto"/>
        </w:rPr>
        <w:t>Provide</w:t>
        <w:tab/>
        <w:t>industry</w:t>
        <w:tab/>
        <w:t>appropriate</w:t>
        <w:tab/>
        <w:t>post-termination</w:t>
        <w:tab/>
        <w:t>compensation</w:t>
        <w:tab/>
        <w:t>in</w:t>
      </w:r>
      <w:r>
        <w:rPr>
          <w:sz w:val="20"/>
          <w:szCs w:val="20"/>
          <w:color w:val="auto"/>
        </w:rPr>
        <w:tab/>
      </w:r>
      <w:r>
        <w:rPr>
          <w:rFonts w:ascii="Arial" w:cs="Arial" w:eastAsia="Arial" w:hAnsi="Arial"/>
          <w:sz w:val="11"/>
          <w:szCs w:val="11"/>
          <w:color w:val="auto"/>
        </w:rPr>
        <w:t>certain Employment agreements reflect current governance standards. Severance benefits</w:t>
      </w:r>
    </w:p>
    <w:p>
      <w:pPr>
        <w:spacing w:after="0" w:line="14" w:lineRule="exact"/>
        <w:rPr>
          <w:sz w:val="20"/>
          <w:szCs w:val="20"/>
          <w:color w:val="auto"/>
        </w:rPr>
      </w:pPr>
    </w:p>
    <w:p>
      <w:pPr>
        <w:spacing w:after="0"/>
        <w:tabs>
          <w:tab w:leader="none" w:pos="4400" w:val="left"/>
        </w:tabs>
        <w:rPr>
          <w:sz w:val="20"/>
          <w:szCs w:val="20"/>
          <w:color w:val="auto"/>
        </w:rPr>
      </w:pPr>
      <w:r>
        <w:rPr>
          <w:rFonts w:ascii="Arial" w:cs="Arial" w:eastAsia="Arial" w:hAnsi="Arial"/>
          <w:sz w:val="13"/>
          <w:szCs w:val="13"/>
          <w:color w:val="auto"/>
        </w:rPr>
        <w:t>circumstances to our CEO, President, and other certain executives.</w:t>
      </w:r>
      <w:r>
        <w:rPr>
          <w:sz w:val="20"/>
          <w:szCs w:val="20"/>
          <w:color w:val="auto"/>
        </w:rPr>
        <w:tab/>
      </w:r>
      <w:r>
        <w:rPr>
          <w:rFonts w:ascii="Arial" w:cs="Arial" w:eastAsia="Arial" w:hAnsi="Arial"/>
          <w:sz w:val="12"/>
          <w:szCs w:val="12"/>
          <w:color w:val="auto"/>
        </w:rPr>
        <w:t>related to a change in control require that the executive's employment has been</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involuntarily or constructively terminated ("double trigger"). There are no golden</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parachute excise tax or other tax "gross-ups".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401(k) Plan participation and employee welfare plan programs designed to be Our executive officers participate in the retirement and welfare plan programs on</w:t>
      </w:r>
    </w:p>
    <w:p>
      <w:pPr>
        <w:spacing w:after="0" w:line="25" w:lineRule="exact"/>
        <w:rPr>
          <w:sz w:val="20"/>
          <w:szCs w:val="20"/>
          <w:color w:val="auto"/>
        </w:rPr>
      </w:pPr>
    </w:p>
    <w:p>
      <w:pPr>
        <w:spacing w:after="0"/>
        <w:tabs>
          <w:tab w:leader="none" w:pos="4400" w:val="left"/>
        </w:tabs>
        <w:rPr>
          <w:sz w:val="20"/>
          <w:szCs w:val="20"/>
          <w:color w:val="auto"/>
        </w:rPr>
      </w:pPr>
      <w:r>
        <w:rPr>
          <w:rFonts w:ascii="Arial" w:cs="Arial" w:eastAsia="Arial" w:hAnsi="Arial"/>
          <w:sz w:val="13"/>
          <w:szCs w:val="13"/>
          <w:color w:val="auto"/>
        </w:rPr>
        <w:t>competitive in recruiting and retaining employees</w:t>
      </w:r>
      <w:r>
        <w:rPr>
          <w:sz w:val="20"/>
          <w:szCs w:val="20"/>
          <w:color w:val="auto"/>
        </w:rPr>
        <w:tab/>
      </w:r>
      <w:r>
        <w:rPr>
          <w:rFonts w:ascii="Arial" w:cs="Arial" w:eastAsia="Arial" w:hAnsi="Arial"/>
          <w:sz w:val="11"/>
          <w:szCs w:val="11"/>
          <w:color w:val="auto"/>
        </w:rPr>
        <w:t>the same terms as all other employees.</w:t>
      </w:r>
    </w:p>
    <w:p>
      <w:pPr>
        <w:spacing w:after="0" w:line="200" w:lineRule="exact"/>
        <w:rPr>
          <w:sz w:val="20"/>
          <w:szCs w:val="20"/>
          <w:color w:val="auto"/>
        </w:rPr>
      </w:pPr>
    </w:p>
    <w:p>
      <w:pPr>
        <w:sectPr>
          <w:pgSz w:w="11900" w:h="16838" w:orient="portrait"/>
          <w:cols w:equalWidth="0" w:num="2">
            <w:col w:w="2360" w:space="100"/>
            <w:col w:w="8840"/>
          </w:cols>
          <w:pgMar w:left="300" w:top="131" w:right="29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The compensation committee has not established formal policies or guidelines with respect to the mix of base salary, annual cash bonus and stock-based awards to be paid or awarded to the executive officers.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31" w:right="299" w:bottom="1440" w:gutter="0" w:footer="0" w:header="0"/>
          <w:type w:val="continuous"/>
        </w:sectPr>
      </w:pPr>
    </w:p>
    <w:bookmarkStart w:id="29" w:name="page30"/>
    <w:bookmarkEnd w:id="2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2020, the compensation committee and the Board made all compensation decisions for our executive officers including the CEO. The committee retained Meridian Compensation Partners, LLC ("Meridian") to review our compensation program including peer benchmarking analysis to assess the competitiveness of our compensation levels, design, practices and processes. Meridian is an independent compensation consulting firm and does not provide any other services outside of matters pertaining to executive and director compensation and related corporate governance matters.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Meridian reports directly to the compensation committee, which is the sole party responsible for determining the scope of services performed, the directions given regarding the performance of those services, and the approval of the payment of invoices for those services.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compensation committee has the sole authority to retain or terminate its compensation consultant. The compensation consultant's role with the Company is limited to executive compensation matters and no such services are performed unless at the direction of and with the approval of the committee. In connection with its engagement of Meridian, the committee considered various factors bearing on Meridian's independence, including the amount of fees paid by the Company in 2020 and the percentage of total revenues they represented; Meridian's policies and procedures for preventing conflicts of interest and compliance therewith; any personal and business relationship of any of Meridian's personnel with any of our compensation committee members or executive officers; and Meridian's policies prohibiting stock ownership by its personnel engaged in any Company matter and the compliance therewith. After reviewing these factors, the compensation committee determined that Meridian is independent and that its engagement did not present any conflict of interest.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Determining Market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Peer Group Benchmarking</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compensation committee assessed the market competitiveness of the compensation of our NEOs against our compensation peer group. To supplement this assessment, the compensation committee also evaluated our executive officers' compensation against competitive market data derived from the 2019 North America Oil and Gas Exploration &amp; Production Compensation Survey, administered by Meridian (data effective as of May 1, 2019).</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The competitive benchmarking review provided market data for each element of compensation, as well as information regarding the incentive plan designs and pay practices among a selected peer group of companies.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Selection criteria utilized to evaluate the companies selected for the peer group include: scope of operations; financial and operational metrics; and the availability of market compensation data. The compensation committee reviews the composition of the peer group annually and may consider modifications resulting from business combinations, changes in our strategy, asset sales or other types of transactions that cause peer companies to no longer exist or to no longer be comparable. Based on the foregoing criteria, the compensation committee approved the following compensation peer group for 2020:</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Arial" w:cs="Arial" w:eastAsia="Arial" w:hAnsi="Arial"/>
                <w:sz w:val="13"/>
                <w:szCs w:val="13"/>
                <w:color w:val="auto"/>
              </w:rPr>
              <w:t>Antero Resources Corporation</w:t>
            </w:r>
          </w:p>
        </w:tc>
        <w:tc>
          <w:tcPr>
            <w:tcW w:w="3340" w:type="dxa"/>
            <w:vAlign w:val="bottom"/>
          </w:tcPr>
          <w:p>
            <w:pPr>
              <w:ind w:left="840"/>
              <w:spacing w:after="0"/>
              <w:rPr>
                <w:sz w:val="20"/>
                <w:szCs w:val="20"/>
                <w:color w:val="auto"/>
              </w:rPr>
            </w:pPr>
            <w:r>
              <w:rPr>
                <w:rFonts w:ascii="Arial" w:cs="Arial" w:eastAsia="Arial" w:hAnsi="Arial"/>
                <w:sz w:val="13"/>
                <w:szCs w:val="13"/>
                <w:color w:val="auto"/>
              </w:rPr>
              <w:t>Gulfport Energy Corporation</w:t>
            </w:r>
          </w:p>
        </w:tc>
        <w:tc>
          <w:tcPr>
            <w:tcW w:w="2480" w:type="dxa"/>
            <w:vAlign w:val="bottom"/>
          </w:tcPr>
          <w:p>
            <w:pPr>
              <w:ind w:left="800"/>
              <w:spacing w:after="0"/>
              <w:rPr>
                <w:sz w:val="20"/>
                <w:szCs w:val="20"/>
                <w:color w:val="auto"/>
              </w:rPr>
            </w:pPr>
            <w:r>
              <w:rPr>
                <w:rFonts w:ascii="Arial" w:cs="Arial" w:eastAsia="Arial" w:hAnsi="Arial"/>
                <w:sz w:val="13"/>
                <w:szCs w:val="13"/>
                <w:color w:val="auto"/>
              </w:rPr>
              <w:t>SM Energy Company</w:t>
            </w:r>
          </w:p>
        </w:tc>
      </w:tr>
      <w:tr>
        <w:trPr>
          <w:trHeight w:val="162"/>
        </w:trPr>
        <w:tc>
          <w:tcPr>
            <w:tcW w:w="2460" w:type="dxa"/>
            <w:vAlign w:val="bottom"/>
          </w:tcPr>
          <w:p>
            <w:pPr>
              <w:spacing w:after="0"/>
              <w:rPr>
                <w:sz w:val="20"/>
                <w:szCs w:val="20"/>
                <w:color w:val="auto"/>
              </w:rPr>
            </w:pPr>
            <w:r>
              <w:rPr>
                <w:rFonts w:ascii="Arial" w:cs="Arial" w:eastAsia="Arial" w:hAnsi="Arial"/>
                <w:sz w:val="13"/>
                <w:szCs w:val="13"/>
                <w:color w:val="auto"/>
              </w:rPr>
              <w:t>Cabot Oil &amp; Gas Corporation</w:t>
            </w:r>
          </w:p>
        </w:tc>
        <w:tc>
          <w:tcPr>
            <w:tcW w:w="3340" w:type="dxa"/>
            <w:vAlign w:val="bottom"/>
          </w:tcPr>
          <w:p>
            <w:pPr>
              <w:ind w:left="840"/>
              <w:spacing w:after="0"/>
              <w:rPr>
                <w:sz w:val="20"/>
                <w:szCs w:val="20"/>
                <w:color w:val="auto"/>
              </w:rPr>
            </w:pPr>
            <w:r>
              <w:rPr>
                <w:rFonts w:ascii="Arial" w:cs="Arial" w:eastAsia="Arial" w:hAnsi="Arial"/>
                <w:sz w:val="13"/>
                <w:szCs w:val="13"/>
                <w:color w:val="auto"/>
              </w:rPr>
              <w:t>Matador Resources Company</w:t>
            </w:r>
          </w:p>
        </w:tc>
        <w:tc>
          <w:tcPr>
            <w:tcW w:w="2480" w:type="dxa"/>
            <w:vAlign w:val="bottom"/>
          </w:tcPr>
          <w:p>
            <w:pPr>
              <w:ind w:left="800"/>
              <w:spacing w:after="0"/>
              <w:rPr>
                <w:sz w:val="20"/>
                <w:szCs w:val="20"/>
                <w:color w:val="auto"/>
              </w:rPr>
            </w:pPr>
            <w:r>
              <w:rPr>
                <w:rFonts w:ascii="Arial" w:cs="Arial" w:eastAsia="Arial" w:hAnsi="Arial"/>
                <w:sz w:val="13"/>
                <w:szCs w:val="13"/>
                <w:color w:val="auto"/>
                <w:w w:val="90"/>
              </w:rPr>
              <w:t>Southwestern Energy Company</w:t>
            </w:r>
          </w:p>
        </w:tc>
      </w:tr>
      <w:tr>
        <w:trPr>
          <w:trHeight w:val="162"/>
        </w:trPr>
        <w:tc>
          <w:tcPr>
            <w:tcW w:w="2460" w:type="dxa"/>
            <w:vAlign w:val="bottom"/>
          </w:tcPr>
          <w:p>
            <w:pPr>
              <w:spacing w:after="0"/>
              <w:rPr>
                <w:sz w:val="20"/>
                <w:szCs w:val="20"/>
                <w:color w:val="auto"/>
              </w:rPr>
            </w:pPr>
            <w:r>
              <w:rPr>
                <w:rFonts w:ascii="Arial" w:cs="Arial" w:eastAsia="Arial" w:hAnsi="Arial"/>
                <w:sz w:val="13"/>
                <w:szCs w:val="13"/>
                <w:color w:val="auto"/>
              </w:rPr>
              <w:t>Callon Petroleum Company</w:t>
            </w:r>
          </w:p>
        </w:tc>
        <w:tc>
          <w:tcPr>
            <w:tcW w:w="3340" w:type="dxa"/>
            <w:vAlign w:val="bottom"/>
          </w:tcPr>
          <w:p>
            <w:pPr>
              <w:ind w:left="840"/>
              <w:spacing w:after="0"/>
              <w:rPr>
                <w:sz w:val="20"/>
                <w:szCs w:val="20"/>
                <w:color w:val="auto"/>
              </w:rPr>
            </w:pPr>
            <w:r>
              <w:rPr>
                <w:rFonts w:ascii="Arial" w:cs="Arial" w:eastAsia="Arial" w:hAnsi="Arial"/>
                <w:sz w:val="13"/>
                <w:szCs w:val="13"/>
                <w:color w:val="auto"/>
              </w:rPr>
              <w:t>Parsley Energy, Inc.</w:t>
            </w:r>
          </w:p>
        </w:tc>
        <w:tc>
          <w:tcPr>
            <w:tcW w:w="2480" w:type="dxa"/>
            <w:vAlign w:val="bottom"/>
          </w:tcPr>
          <w:p>
            <w:pPr>
              <w:ind w:left="800"/>
              <w:spacing w:after="0"/>
              <w:rPr>
                <w:sz w:val="20"/>
                <w:szCs w:val="20"/>
                <w:color w:val="auto"/>
              </w:rPr>
            </w:pPr>
            <w:r>
              <w:rPr>
                <w:rFonts w:ascii="Arial" w:cs="Arial" w:eastAsia="Arial" w:hAnsi="Arial"/>
                <w:sz w:val="13"/>
                <w:szCs w:val="13"/>
                <w:color w:val="auto"/>
                <w:w w:val="93"/>
              </w:rPr>
              <w:t>Whiting Petroleum Corporation</w:t>
            </w:r>
          </w:p>
        </w:tc>
      </w:tr>
      <w:tr>
        <w:trPr>
          <w:trHeight w:val="162"/>
        </w:trPr>
        <w:tc>
          <w:tcPr>
            <w:tcW w:w="2460" w:type="dxa"/>
            <w:vAlign w:val="bottom"/>
          </w:tcPr>
          <w:p>
            <w:pPr>
              <w:spacing w:after="0"/>
              <w:rPr>
                <w:sz w:val="20"/>
                <w:szCs w:val="20"/>
                <w:color w:val="auto"/>
              </w:rPr>
            </w:pPr>
            <w:r>
              <w:rPr>
                <w:rFonts w:ascii="Arial" w:cs="Arial" w:eastAsia="Arial" w:hAnsi="Arial"/>
                <w:sz w:val="13"/>
                <w:szCs w:val="13"/>
                <w:color w:val="auto"/>
              </w:rPr>
              <w:t>CNX Resources Corporation</w:t>
            </w:r>
          </w:p>
        </w:tc>
        <w:tc>
          <w:tcPr>
            <w:tcW w:w="3340" w:type="dxa"/>
            <w:vAlign w:val="bottom"/>
          </w:tcPr>
          <w:p>
            <w:pPr>
              <w:ind w:left="840"/>
              <w:spacing w:after="0"/>
              <w:rPr>
                <w:sz w:val="20"/>
                <w:szCs w:val="20"/>
                <w:color w:val="auto"/>
              </w:rPr>
            </w:pPr>
            <w:r>
              <w:rPr>
                <w:rFonts w:ascii="Arial" w:cs="Arial" w:eastAsia="Arial" w:hAnsi="Arial"/>
                <w:sz w:val="13"/>
                <w:szCs w:val="13"/>
                <w:color w:val="auto"/>
              </w:rPr>
              <w:t>PDC Energy, Inc.</w:t>
            </w:r>
          </w:p>
        </w:tc>
        <w:tc>
          <w:tcPr>
            <w:tcW w:w="2480" w:type="dxa"/>
            <w:vAlign w:val="bottom"/>
          </w:tcPr>
          <w:p>
            <w:pPr>
              <w:ind w:left="800"/>
              <w:spacing w:after="0"/>
              <w:rPr>
                <w:sz w:val="20"/>
                <w:szCs w:val="20"/>
                <w:color w:val="auto"/>
              </w:rPr>
            </w:pPr>
            <w:r>
              <w:rPr>
                <w:rFonts w:ascii="Arial" w:cs="Arial" w:eastAsia="Arial" w:hAnsi="Arial"/>
                <w:sz w:val="13"/>
                <w:szCs w:val="13"/>
                <w:color w:val="auto"/>
              </w:rPr>
              <w:t>WPX Energy, Inc.</w:t>
            </w:r>
          </w:p>
        </w:tc>
      </w:tr>
      <w:tr>
        <w:trPr>
          <w:trHeight w:val="166"/>
        </w:trPr>
        <w:tc>
          <w:tcPr>
            <w:tcW w:w="2460" w:type="dxa"/>
            <w:vAlign w:val="bottom"/>
          </w:tcPr>
          <w:p>
            <w:pPr>
              <w:spacing w:after="0"/>
              <w:rPr>
                <w:sz w:val="20"/>
                <w:szCs w:val="20"/>
                <w:color w:val="auto"/>
              </w:rPr>
            </w:pPr>
            <w:r>
              <w:rPr>
                <w:rFonts w:ascii="Arial" w:cs="Arial" w:eastAsia="Arial" w:hAnsi="Arial"/>
                <w:sz w:val="13"/>
                <w:szCs w:val="13"/>
                <w:color w:val="auto"/>
              </w:rPr>
              <w:t>EQT Corporation</w:t>
            </w:r>
          </w:p>
        </w:tc>
        <w:tc>
          <w:tcPr>
            <w:tcW w:w="3340" w:type="dxa"/>
            <w:vAlign w:val="bottom"/>
          </w:tcPr>
          <w:p>
            <w:pPr>
              <w:ind w:left="840"/>
              <w:spacing w:after="0"/>
              <w:rPr>
                <w:sz w:val="20"/>
                <w:szCs w:val="20"/>
                <w:color w:val="auto"/>
              </w:rPr>
            </w:pPr>
            <w:r>
              <w:rPr>
                <w:rFonts w:ascii="Arial" w:cs="Arial" w:eastAsia="Arial" w:hAnsi="Arial"/>
                <w:sz w:val="13"/>
                <w:szCs w:val="13"/>
                <w:color w:val="auto"/>
              </w:rPr>
              <w:t>Range Resources Corporation</w:t>
            </w:r>
          </w:p>
        </w:tc>
        <w:tc>
          <w:tcPr>
            <w:tcW w:w="2480" w:type="dxa"/>
            <w:vAlign w:val="bottom"/>
          </w:tcPr>
          <w:p>
            <w:pPr>
              <w:spacing w:after="0"/>
              <w:rPr>
                <w:sz w:val="14"/>
                <w:szCs w:val="14"/>
                <w:color w:val="auto"/>
              </w:rPr>
            </w:pPr>
          </w:p>
        </w:tc>
      </w:tr>
      <w:tr>
        <w:trPr>
          <w:trHeight w:val="601"/>
        </w:trPr>
        <w:tc>
          <w:tcPr>
            <w:tcW w:w="2460" w:type="dxa"/>
            <w:vAlign w:val="bottom"/>
          </w:tcPr>
          <w:p>
            <w:pPr>
              <w:spacing w:after="0"/>
              <w:rPr>
                <w:sz w:val="24"/>
                <w:szCs w:val="24"/>
                <w:color w:val="auto"/>
              </w:rPr>
            </w:pPr>
          </w:p>
        </w:tc>
        <w:tc>
          <w:tcPr>
            <w:tcW w:w="3340" w:type="dxa"/>
            <w:vAlign w:val="bottom"/>
          </w:tcPr>
          <w:p>
            <w:pPr>
              <w:ind w:left="2420"/>
              <w:spacing w:after="0"/>
              <w:rPr>
                <w:sz w:val="20"/>
                <w:szCs w:val="20"/>
                <w:color w:val="auto"/>
              </w:rPr>
            </w:pPr>
            <w:r>
              <w:rPr>
                <w:rFonts w:ascii="Arial" w:cs="Arial" w:eastAsia="Arial" w:hAnsi="Arial"/>
                <w:sz w:val="12"/>
                <w:szCs w:val="12"/>
                <w:color w:val="auto"/>
              </w:rPr>
              <w:t>24</w:t>
            </w:r>
          </w:p>
        </w:tc>
        <w:tc>
          <w:tcPr>
            <w:tcW w:w="248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30" w:name="page31"/>
    <w:bookmarkEnd w:id="30"/>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i w:val="1"/>
          <w:iCs w:val="1"/>
          <w:color w:val="225CAB"/>
        </w:rPr>
        <w:t>Determination of Base Salaries</w:t>
      </w:r>
    </w:p>
    <w:p>
      <w:pPr>
        <w:spacing w:after="0" w:line="76"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Base salary provides a fixed element of compensation periodically paid to our NEOs, which is generally reviewed annually by the compensation committee. In setting base salary, the compensation committee takes into account the following factors: competitive market data, the NEO's responsibilities, experience, performance, initiative, contributions to our overall performance, managerial ability and handling of special projects. For 2020, base salaries for the NEOs were adjusted as follows:</w:t>
      </w:r>
    </w:p>
    <w:p>
      <w:pPr>
        <w:spacing w:after="0" w:line="93"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5480" w:type="dxa"/>
            <w:vAlign w:val="bottom"/>
            <w:tcBorders>
              <w:top w:val="single" w:sz="8" w:color="auto"/>
              <w:left w:val="single" w:sz="8" w:color="auto"/>
              <w:bottom w:val="single" w:sz="8" w:color="auto"/>
            </w:tcBorders>
            <w:gridSpan w:val="2"/>
            <w:shd w:val="clear" w:color="auto" w:fill="DAE1F4"/>
          </w:tcPr>
          <w:p>
            <w:pPr>
              <w:ind w:left="20"/>
              <w:spacing w:after="0"/>
              <w:rPr>
                <w:sz w:val="20"/>
                <w:szCs w:val="20"/>
                <w:color w:val="auto"/>
              </w:rPr>
            </w:pPr>
            <w:r>
              <w:rPr>
                <w:rFonts w:ascii="Arial" w:cs="Arial" w:eastAsia="Arial" w:hAnsi="Arial"/>
                <w:sz w:val="11"/>
                <w:szCs w:val="11"/>
                <w:b w:val="1"/>
                <w:bCs w:val="1"/>
                <w:color w:val="auto"/>
              </w:rPr>
              <w:t>Executive</w:t>
            </w:r>
          </w:p>
        </w:tc>
        <w:tc>
          <w:tcPr>
            <w:tcW w:w="3340" w:type="dxa"/>
            <w:vAlign w:val="bottom"/>
            <w:tcBorders>
              <w:top w:val="single" w:sz="8" w:color="auto"/>
              <w:bottom w:val="single" w:sz="8" w:color="auto"/>
            </w:tcBorders>
            <w:shd w:val="clear" w:color="auto" w:fill="DAE1F4"/>
          </w:tcPr>
          <w:p>
            <w:pPr>
              <w:jc w:val="center"/>
              <w:ind w:left="2061"/>
              <w:spacing w:after="0"/>
              <w:rPr>
                <w:sz w:val="20"/>
                <w:szCs w:val="20"/>
                <w:color w:val="auto"/>
              </w:rPr>
            </w:pPr>
            <w:r>
              <w:rPr>
                <w:rFonts w:ascii="Arial" w:cs="Arial" w:eastAsia="Arial" w:hAnsi="Arial"/>
                <w:sz w:val="11"/>
                <w:szCs w:val="11"/>
                <w:b w:val="1"/>
                <w:bCs w:val="1"/>
                <w:color w:val="auto"/>
                <w:w w:val="89"/>
              </w:rPr>
              <w:t>2019</w:t>
            </w:r>
          </w:p>
        </w:tc>
        <w:tc>
          <w:tcPr>
            <w:tcW w:w="1240" w:type="dxa"/>
            <w:vAlign w:val="bottom"/>
            <w:tcBorders>
              <w:top w:val="single" w:sz="8" w:color="auto"/>
              <w:bottom w:val="single" w:sz="8" w:color="auto"/>
            </w:tcBorders>
            <w:shd w:val="clear" w:color="auto" w:fill="DAE1F4"/>
          </w:tcPr>
          <w:p>
            <w:pPr>
              <w:jc w:val="center"/>
              <w:ind w:right="1"/>
              <w:spacing w:after="0"/>
              <w:rPr>
                <w:sz w:val="20"/>
                <w:szCs w:val="20"/>
                <w:color w:val="auto"/>
              </w:rPr>
            </w:pPr>
            <w:r>
              <w:rPr>
                <w:rFonts w:ascii="Arial" w:cs="Arial" w:eastAsia="Arial" w:hAnsi="Arial"/>
                <w:sz w:val="11"/>
                <w:szCs w:val="11"/>
                <w:b w:val="1"/>
                <w:bCs w:val="1"/>
                <w:color w:val="auto"/>
                <w:w w:val="89"/>
              </w:rPr>
              <w:t>2020</w:t>
            </w:r>
          </w:p>
        </w:tc>
        <w:tc>
          <w:tcPr>
            <w:tcW w:w="1260" w:type="dxa"/>
            <w:vAlign w:val="bottom"/>
            <w:tcBorders>
              <w:top w:val="single" w:sz="8" w:color="auto"/>
              <w:bottom w:val="single" w:sz="8" w:color="auto"/>
              <w:right w:val="single" w:sz="8" w:color="auto"/>
            </w:tcBorders>
            <w:shd w:val="clear" w:color="auto" w:fill="DAE1F4"/>
          </w:tcPr>
          <w:p>
            <w:pPr>
              <w:jc w:val="center"/>
              <w:ind w:right="1"/>
              <w:spacing w:after="0"/>
              <w:rPr>
                <w:sz w:val="20"/>
                <w:szCs w:val="20"/>
                <w:color w:val="auto"/>
              </w:rPr>
            </w:pPr>
            <w:r>
              <w:rPr>
                <w:rFonts w:ascii="Arial" w:cs="Arial" w:eastAsia="Arial" w:hAnsi="Arial"/>
                <w:sz w:val="11"/>
                <w:szCs w:val="11"/>
                <w:b w:val="1"/>
                <w:bCs w:val="1"/>
                <w:color w:val="auto"/>
              </w:rPr>
              <w:t>%</w:t>
            </w:r>
          </w:p>
        </w:tc>
      </w:tr>
      <w:tr>
        <w:trPr>
          <w:trHeight w:val="162"/>
        </w:trPr>
        <w:tc>
          <w:tcPr>
            <w:tcW w:w="5480" w:type="dxa"/>
            <w:vAlign w:val="bottom"/>
            <w:tcBorders>
              <w:left w:val="single" w:sz="8" w:color="auto"/>
            </w:tcBorders>
            <w:gridSpan w:val="2"/>
          </w:tcPr>
          <w:p>
            <w:pPr>
              <w:ind w:left="20"/>
              <w:spacing w:after="0"/>
              <w:rPr>
                <w:sz w:val="20"/>
                <w:szCs w:val="20"/>
                <w:color w:val="auto"/>
              </w:rPr>
            </w:pPr>
            <w:r>
              <w:rPr>
                <w:rFonts w:ascii="Arial" w:cs="Arial" w:eastAsia="Arial" w:hAnsi="Arial"/>
                <w:sz w:val="12"/>
                <w:szCs w:val="12"/>
                <w:color w:val="auto"/>
              </w:rPr>
              <w:t xml:space="preserve">M. Jay Allison, </w:t>
            </w:r>
            <w:r>
              <w:rPr>
                <w:rFonts w:ascii="Arial" w:cs="Arial" w:eastAsia="Arial" w:hAnsi="Arial"/>
                <w:sz w:val="10"/>
                <w:szCs w:val="10"/>
                <w:i w:val="1"/>
                <w:iCs w:val="1"/>
                <w:color w:val="auto"/>
              </w:rPr>
              <w:t>Chief Executive Officer</w:t>
            </w:r>
          </w:p>
        </w:tc>
        <w:tc>
          <w:tcPr>
            <w:tcW w:w="3340" w:type="dxa"/>
            <w:vAlign w:val="bottom"/>
          </w:tcPr>
          <w:p>
            <w:pPr>
              <w:jc w:val="center"/>
              <w:ind w:left="2061"/>
              <w:spacing w:after="0"/>
              <w:rPr>
                <w:sz w:val="20"/>
                <w:szCs w:val="20"/>
                <w:color w:val="auto"/>
              </w:rPr>
            </w:pPr>
            <w:r>
              <w:rPr>
                <w:rFonts w:ascii="Arial" w:cs="Arial" w:eastAsia="Arial" w:hAnsi="Arial"/>
                <w:sz w:val="12"/>
                <w:szCs w:val="12"/>
                <w:color w:val="auto"/>
                <w:w w:val="91"/>
              </w:rPr>
              <w:t>$825,000</w:t>
            </w:r>
          </w:p>
        </w:tc>
        <w:tc>
          <w:tcPr>
            <w:tcW w:w="1240" w:type="dxa"/>
            <w:vAlign w:val="bottom"/>
          </w:tcPr>
          <w:p>
            <w:pPr>
              <w:jc w:val="center"/>
              <w:spacing w:after="0"/>
              <w:rPr>
                <w:sz w:val="20"/>
                <w:szCs w:val="20"/>
                <w:color w:val="auto"/>
              </w:rPr>
            </w:pPr>
            <w:r>
              <w:rPr>
                <w:rFonts w:ascii="Arial" w:cs="Arial" w:eastAsia="Arial" w:hAnsi="Arial"/>
                <w:sz w:val="12"/>
                <w:szCs w:val="12"/>
                <w:color w:val="auto"/>
                <w:w w:val="87"/>
              </w:rPr>
              <w:t>$840,000</w:t>
            </w:r>
          </w:p>
        </w:tc>
        <w:tc>
          <w:tcPr>
            <w:tcW w:w="126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87"/>
              </w:rPr>
              <w:t>1.8%</w:t>
            </w:r>
          </w:p>
        </w:tc>
      </w:tr>
      <w:tr>
        <w:trPr>
          <w:trHeight w:val="169"/>
        </w:trPr>
        <w:tc>
          <w:tcPr>
            <w:tcW w:w="880" w:type="dxa"/>
            <w:vAlign w:val="bottom"/>
            <w:tcBorders>
              <w:left w:val="single" w:sz="8" w:color="auto"/>
              <w:bottom w:val="single" w:sz="8" w:color="DAE1F4"/>
            </w:tcBorders>
            <w:shd w:val="clear" w:color="auto" w:fill="DAE1F4"/>
          </w:tcPr>
          <w:p>
            <w:pPr>
              <w:ind w:left="20"/>
              <w:spacing w:after="0"/>
              <w:rPr>
                <w:sz w:val="20"/>
                <w:szCs w:val="20"/>
                <w:color w:val="auto"/>
              </w:rPr>
            </w:pPr>
            <w:r>
              <w:rPr>
                <w:rFonts w:ascii="Arial" w:cs="Arial" w:eastAsia="Arial" w:hAnsi="Arial"/>
                <w:sz w:val="12"/>
                <w:szCs w:val="12"/>
                <w:color w:val="auto"/>
                <w:w w:val="91"/>
                <w:shd w:val="clear" w:color="auto" w:fill="DAE1F4"/>
              </w:rPr>
              <w:t>Roland O. Burns,</w:t>
            </w:r>
          </w:p>
        </w:tc>
        <w:tc>
          <w:tcPr>
            <w:tcW w:w="4600" w:type="dxa"/>
            <w:vAlign w:val="bottom"/>
            <w:tcBorders>
              <w:bottom w:val="single" w:sz="8" w:color="DAE1F4"/>
            </w:tcBorders>
            <w:shd w:val="clear" w:color="auto" w:fill="DAE1F4"/>
          </w:tcPr>
          <w:p>
            <w:pPr>
              <w:spacing w:after="0"/>
              <w:rPr>
                <w:sz w:val="20"/>
                <w:szCs w:val="20"/>
                <w:color w:val="auto"/>
              </w:rPr>
            </w:pPr>
            <w:r>
              <w:rPr>
                <w:rFonts w:ascii="Arial" w:cs="Arial" w:eastAsia="Arial" w:hAnsi="Arial"/>
                <w:sz w:val="11"/>
                <w:szCs w:val="11"/>
                <w:i w:val="1"/>
                <w:iCs w:val="1"/>
                <w:color w:val="auto"/>
                <w:shd w:val="clear" w:color="auto" w:fill="DAE1F4"/>
              </w:rPr>
              <w:t>President and Chief Financial Officer</w:t>
            </w:r>
          </w:p>
        </w:tc>
        <w:tc>
          <w:tcPr>
            <w:tcW w:w="3340" w:type="dxa"/>
            <w:vAlign w:val="bottom"/>
            <w:tcBorders>
              <w:bottom w:val="single" w:sz="8" w:color="DAE1F4"/>
            </w:tcBorders>
            <w:shd w:val="clear" w:color="auto" w:fill="DAE1F4"/>
          </w:tcPr>
          <w:p>
            <w:pPr>
              <w:jc w:val="center"/>
              <w:ind w:left="2061"/>
              <w:spacing w:after="0"/>
              <w:rPr>
                <w:sz w:val="20"/>
                <w:szCs w:val="20"/>
                <w:color w:val="auto"/>
              </w:rPr>
            </w:pPr>
            <w:r>
              <w:rPr>
                <w:rFonts w:ascii="Arial" w:cs="Arial" w:eastAsia="Arial" w:hAnsi="Arial"/>
                <w:sz w:val="12"/>
                <w:szCs w:val="12"/>
                <w:color w:val="auto"/>
                <w:w w:val="91"/>
              </w:rPr>
              <w:t>$560,000</w:t>
            </w:r>
          </w:p>
        </w:tc>
        <w:tc>
          <w:tcPr>
            <w:tcW w:w="1240" w:type="dxa"/>
            <w:vAlign w:val="bottom"/>
            <w:tcBorders>
              <w:bottom w:val="single" w:sz="8" w:color="DAE1F4"/>
            </w:tcBorders>
            <w:shd w:val="clear" w:color="auto" w:fill="DAE1F4"/>
          </w:tcPr>
          <w:p>
            <w:pPr>
              <w:jc w:val="center"/>
              <w:spacing w:after="0"/>
              <w:rPr>
                <w:sz w:val="20"/>
                <w:szCs w:val="20"/>
                <w:color w:val="auto"/>
              </w:rPr>
            </w:pPr>
            <w:r>
              <w:rPr>
                <w:rFonts w:ascii="Arial" w:cs="Arial" w:eastAsia="Arial" w:hAnsi="Arial"/>
                <w:sz w:val="12"/>
                <w:szCs w:val="12"/>
                <w:color w:val="auto"/>
                <w:w w:val="87"/>
              </w:rPr>
              <w:t>$570,000</w:t>
            </w:r>
          </w:p>
        </w:tc>
        <w:tc>
          <w:tcPr>
            <w:tcW w:w="1260" w:type="dxa"/>
            <w:vAlign w:val="bottom"/>
            <w:tcBorders>
              <w:bottom w:val="single" w:sz="8" w:color="DAE1F4"/>
              <w:right w:val="single" w:sz="8" w:color="auto"/>
            </w:tcBorders>
            <w:shd w:val="clear" w:color="auto" w:fill="DAE1F4"/>
          </w:tcPr>
          <w:p>
            <w:pPr>
              <w:jc w:val="center"/>
              <w:ind w:right="1"/>
              <w:spacing w:after="0"/>
              <w:rPr>
                <w:sz w:val="20"/>
                <w:szCs w:val="20"/>
                <w:color w:val="auto"/>
              </w:rPr>
            </w:pPr>
            <w:r>
              <w:rPr>
                <w:rFonts w:ascii="Arial" w:cs="Arial" w:eastAsia="Arial" w:hAnsi="Arial"/>
                <w:sz w:val="12"/>
                <w:szCs w:val="12"/>
                <w:color w:val="auto"/>
                <w:w w:val="87"/>
              </w:rPr>
              <w:t>1.8%</w:t>
            </w:r>
          </w:p>
        </w:tc>
      </w:tr>
      <w:tr>
        <w:trPr>
          <w:trHeight w:val="171"/>
        </w:trPr>
        <w:tc>
          <w:tcPr>
            <w:tcW w:w="5480" w:type="dxa"/>
            <w:vAlign w:val="bottom"/>
            <w:tcBorders>
              <w:left w:val="single" w:sz="8" w:color="auto"/>
            </w:tcBorders>
            <w:gridSpan w:val="2"/>
          </w:tcPr>
          <w:p>
            <w:pPr>
              <w:ind w:left="20"/>
              <w:spacing w:after="0"/>
              <w:rPr>
                <w:sz w:val="20"/>
                <w:szCs w:val="20"/>
                <w:color w:val="auto"/>
              </w:rPr>
            </w:pPr>
            <w:r>
              <w:rPr>
                <w:rFonts w:ascii="Arial" w:cs="Arial" w:eastAsia="Arial" w:hAnsi="Arial"/>
                <w:sz w:val="12"/>
                <w:szCs w:val="12"/>
                <w:color w:val="auto"/>
              </w:rPr>
              <w:t xml:space="preserve">Daniel S. Harrison, </w:t>
            </w:r>
            <w:r>
              <w:rPr>
                <w:rFonts w:ascii="Arial" w:cs="Arial" w:eastAsia="Arial" w:hAnsi="Arial"/>
                <w:sz w:val="10"/>
                <w:szCs w:val="10"/>
                <w:i w:val="1"/>
                <w:iCs w:val="1"/>
                <w:color w:val="auto"/>
              </w:rPr>
              <w:t>Chief Operating Officer</w:t>
            </w:r>
          </w:p>
        </w:tc>
        <w:tc>
          <w:tcPr>
            <w:tcW w:w="3340" w:type="dxa"/>
            <w:vAlign w:val="bottom"/>
          </w:tcPr>
          <w:p>
            <w:pPr>
              <w:jc w:val="center"/>
              <w:ind w:left="2061"/>
              <w:spacing w:after="0"/>
              <w:rPr>
                <w:sz w:val="20"/>
                <w:szCs w:val="20"/>
                <w:color w:val="auto"/>
              </w:rPr>
            </w:pPr>
            <w:r>
              <w:rPr>
                <w:rFonts w:ascii="Arial" w:cs="Arial" w:eastAsia="Arial" w:hAnsi="Arial"/>
                <w:sz w:val="12"/>
                <w:szCs w:val="12"/>
                <w:color w:val="auto"/>
                <w:w w:val="91"/>
              </w:rPr>
              <w:t>$390,000</w:t>
            </w:r>
          </w:p>
        </w:tc>
        <w:tc>
          <w:tcPr>
            <w:tcW w:w="1240" w:type="dxa"/>
            <w:vAlign w:val="bottom"/>
          </w:tcPr>
          <w:p>
            <w:pPr>
              <w:jc w:val="center"/>
              <w:spacing w:after="0"/>
              <w:rPr>
                <w:sz w:val="20"/>
                <w:szCs w:val="20"/>
                <w:color w:val="auto"/>
              </w:rPr>
            </w:pPr>
            <w:r>
              <w:rPr>
                <w:rFonts w:ascii="Arial" w:cs="Arial" w:eastAsia="Arial" w:hAnsi="Arial"/>
                <w:sz w:val="12"/>
                <w:szCs w:val="12"/>
                <w:color w:val="auto"/>
                <w:w w:val="87"/>
              </w:rPr>
              <w:t>$460,000</w:t>
            </w:r>
          </w:p>
        </w:tc>
        <w:tc>
          <w:tcPr>
            <w:tcW w:w="1260" w:type="dxa"/>
            <w:vAlign w:val="bottom"/>
            <w:tcBorders>
              <w:right w:val="single" w:sz="8" w:color="auto"/>
            </w:tcBorders>
          </w:tcPr>
          <w:p>
            <w:pPr>
              <w:jc w:val="center"/>
              <w:ind w:right="21"/>
              <w:spacing w:after="0"/>
              <w:rPr>
                <w:sz w:val="20"/>
                <w:szCs w:val="20"/>
                <w:color w:val="auto"/>
              </w:rPr>
            </w:pPr>
            <w:r>
              <w:rPr>
                <w:rFonts w:ascii="Arial" w:cs="Arial" w:eastAsia="Arial" w:hAnsi="Arial"/>
                <w:sz w:val="12"/>
                <w:szCs w:val="12"/>
                <w:color w:val="auto"/>
                <w:w w:val="90"/>
              </w:rPr>
              <w:t>17.9%</w:t>
            </w:r>
            <w:r>
              <w:rPr>
                <w:rFonts w:ascii="Arial" w:cs="Arial" w:eastAsia="Arial" w:hAnsi="Arial"/>
                <w:sz w:val="12"/>
                <w:szCs w:val="12"/>
                <w:color w:val="FFFFFF"/>
                <w:w w:val="90"/>
              </w:rPr>
              <w:t>.</w:t>
            </w:r>
          </w:p>
        </w:tc>
      </w:tr>
      <w:tr>
        <w:trPr>
          <w:trHeight w:val="189"/>
        </w:trPr>
        <w:tc>
          <w:tcPr>
            <w:tcW w:w="5480" w:type="dxa"/>
            <w:vAlign w:val="bottom"/>
            <w:tcBorders>
              <w:left w:val="single" w:sz="8" w:color="auto"/>
            </w:tcBorders>
            <w:gridSpan w:val="2"/>
            <w:shd w:val="clear" w:color="auto" w:fill="DAE1F4"/>
          </w:tcPr>
          <w:p>
            <w:pPr>
              <w:ind w:left="20"/>
              <w:spacing w:after="0"/>
              <w:rPr>
                <w:sz w:val="20"/>
                <w:szCs w:val="20"/>
                <w:color w:val="auto"/>
              </w:rPr>
            </w:pPr>
            <w:r>
              <w:rPr>
                <w:rFonts w:ascii="Arial" w:cs="Arial" w:eastAsia="Arial" w:hAnsi="Arial"/>
                <w:sz w:val="12"/>
                <w:szCs w:val="12"/>
                <w:color w:val="auto"/>
              </w:rPr>
              <w:t xml:space="preserve">David J. Terry, </w:t>
            </w:r>
            <w:r>
              <w:rPr>
                <w:rFonts w:ascii="Arial" w:cs="Arial" w:eastAsia="Arial" w:hAnsi="Arial"/>
                <w:sz w:val="10"/>
                <w:szCs w:val="10"/>
                <w:i w:val="1"/>
                <w:iCs w:val="1"/>
                <w:color w:val="auto"/>
              </w:rPr>
              <w:t>Senior Vice President of Corporate Development</w:t>
            </w:r>
            <w:r>
              <w:rPr>
                <w:rFonts w:ascii="Arial" w:cs="Arial" w:eastAsia="Arial" w:hAnsi="Arial"/>
                <w:sz w:val="12"/>
                <w:szCs w:val="12"/>
                <w:color w:val="auto"/>
              </w:rPr>
              <w:t xml:space="preserve"> </w:t>
            </w:r>
            <w:r>
              <w:rPr>
                <w:rFonts w:ascii="Arial" w:cs="Arial" w:eastAsia="Arial" w:hAnsi="Arial"/>
                <w:sz w:val="14"/>
                <w:szCs w:val="14"/>
                <w:i w:val="1"/>
                <w:iCs w:val="1"/>
                <w:color w:val="auto"/>
                <w:vertAlign w:val="superscript"/>
              </w:rPr>
              <w:t>(1)</w:t>
            </w:r>
          </w:p>
        </w:tc>
        <w:tc>
          <w:tcPr>
            <w:tcW w:w="3340" w:type="dxa"/>
            <w:vAlign w:val="bottom"/>
            <w:shd w:val="clear" w:color="auto" w:fill="DAE1F4"/>
          </w:tcPr>
          <w:p>
            <w:pPr>
              <w:jc w:val="center"/>
              <w:ind w:left="2061"/>
              <w:spacing w:after="0"/>
              <w:rPr>
                <w:sz w:val="20"/>
                <w:szCs w:val="20"/>
                <w:color w:val="auto"/>
              </w:rPr>
            </w:pPr>
            <w:r>
              <w:rPr>
                <w:rFonts w:ascii="Arial" w:cs="Arial" w:eastAsia="Arial" w:hAnsi="Arial"/>
                <w:sz w:val="12"/>
                <w:szCs w:val="12"/>
                <w:color w:val="auto"/>
                <w:w w:val="91"/>
              </w:rPr>
              <w:t>$425,000</w:t>
            </w:r>
          </w:p>
        </w:tc>
        <w:tc>
          <w:tcPr>
            <w:tcW w:w="1240" w:type="dxa"/>
            <w:vAlign w:val="bottom"/>
            <w:shd w:val="clear" w:color="auto" w:fill="DAE1F4"/>
          </w:tcPr>
          <w:p>
            <w:pPr>
              <w:jc w:val="center"/>
              <w:spacing w:after="0"/>
              <w:rPr>
                <w:sz w:val="20"/>
                <w:szCs w:val="20"/>
                <w:color w:val="auto"/>
              </w:rPr>
            </w:pPr>
            <w:r>
              <w:rPr>
                <w:rFonts w:ascii="Arial" w:cs="Arial" w:eastAsia="Arial" w:hAnsi="Arial"/>
                <w:sz w:val="12"/>
                <w:szCs w:val="12"/>
                <w:color w:val="auto"/>
                <w:w w:val="87"/>
              </w:rPr>
              <w:t>$435,000</w:t>
            </w:r>
          </w:p>
        </w:tc>
        <w:tc>
          <w:tcPr>
            <w:tcW w:w="1260" w:type="dxa"/>
            <w:vAlign w:val="bottom"/>
            <w:tcBorders>
              <w:right w:val="single" w:sz="8" w:color="auto"/>
            </w:tcBorders>
            <w:shd w:val="clear" w:color="auto" w:fill="DAE1F4"/>
          </w:tcPr>
          <w:p>
            <w:pPr>
              <w:jc w:val="center"/>
              <w:ind w:right="1"/>
              <w:spacing w:after="0"/>
              <w:rPr>
                <w:sz w:val="20"/>
                <w:szCs w:val="20"/>
                <w:color w:val="auto"/>
              </w:rPr>
            </w:pPr>
            <w:r>
              <w:rPr>
                <w:rFonts w:ascii="Arial" w:cs="Arial" w:eastAsia="Arial" w:hAnsi="Arial"/>
                <w:sz w:val="12"/>
                <w:szCs w:val="12"/>
                <w:color w:val="auto"/>
                <w:w w:val="87"/>
              </w:rPr>
              <w:t>2.4%</w:t>
            </w:r>
          </w:p>
        </w:tc>
      </w:tr>
      <w:tr>
        <w:trPr>
          <w:trHeight w:val="171"/>
        </w:trPr>
        <w:tc>
          <w:tcPr>
            <w:tcW w:w="54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2"/>
                <w:szCs w:val="12"/>
                <w:color w:val="auto"/>
              </w:rPr>
              <w:t xml:space="preserve">Daniel K. Presley, </w:t>
            </w:r>
            <w:r>
              <w:rPr>
                <w:rFonts w:ascii="Arial" w:cs="Arial" w:eastAsia="Arial" w:hAnsi="Arial"/>
                <w:sz w:val="10"/>
                <w:szCs w:val="10"/>
                <w:i w:val="1"/>
                <w:iCs w:val="1"/>
                <w:color w:val="auto"/>
              </w:rPr>
              <w:t>Vice President of Accounting</w:t>
            </w:r>
          </w:p>
        </w:tc>
        <w:tc>
          <w:tcPr>
            <w:tcW w:w="3340" w:type="dxa"/>
            <w:vAlign w:val="bottom"/>
            <w:tcBorders>
              <w:bottom w:val="single" w:sz="8" w:color="auto"/>
            </w:tcBorders>
          </w:tcPr>
          <w:p>
            <w:pPr>
              <w:jc w:val="center"/>
              <w:ind w:left="2061"/>
              <w:spacing w:after="0"/>
              <w:rPr>
                <w:sz w:val="20"/>
                <w:szCs w:val="20"/>
                <w:color w:val="auto"/>
              </w:rPr>
            </w:pPr>
            <w:r>
              <w:rPr>
                <w:rFonts w:ascii="Arial" w:cs="Arial" w:eastAsia="Arial" w:hAnsi="Arial"/>
                <w:sz w:val="12"/>
                <w:szCs w:val="12"/>
                <w:color w:val="auto"/>
                <w:w w:val="91"/>
              </w:rPr>
              <w:t>$265,000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$285,000</w:t>
            </w:r>
          </w:p>
        </w:tc>
        <w:tc>
          <w:tcPr>
            <w:tcW w:w="126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2"/>
                <w:szCs w:val="12"/>
                <w:color w:val="auto"/>
                <w:w w:val="87"/>
              </w:rPr>
              <w:t>7.5%</w:t>
            </w:r>
          </w:p>
        </w:tc>
      </w:tr>
    </w:tbl>
    <w:p>
      <w:pPr>
        <w:spacing w:after="0" w:line="72" w:lineRule="exact"/>
        <w:rPr>
          <w:sz w:val="20"/>
          <w:szCs w:val="20"/>
          <w:color w:val="auto"/>
        </w:rPr>
      </w:pPr>
    </w:p>
    <w:p>
      <w:pPr>
        <w:ind w:left="208" w:hanging="208"/>
        <w:spacing w:after="0"/>
        <w:tabs>
          <w:tab w:leader="none" w:pos="208" w:val="left"/>
        </w:tabs>
        <w:numPr>
          <w:ilvl w:val="0"/>
          <w:numId w:val="25"/>
        </w:numPr>
        <w:rPr>
          <w:rFonts w:ascii="Arial" w:cs="Arial" w:eastAsia="Arial" w:hAnsi="Arial"/>
          <w:sz w:val="8"/>
          <w:szCs w:val="8"/>
          <w:i w:val="1"/>
          <w:iCs w:val="1"/>
          <w:color w:val="auto"/>
        </w:rPr>
      </w:pPr>
      <w:r>
        <w:rPr>
          <w:rFonts w:ascii="Arial" w:cs="Arial" w:eastAsia="Arial" w:hAnsi="Arial"/>
          <w:sz w:val="8"/>
          <w:szCs w:val="8"/>
          <w:i w:val="1"/>
          <w:iCs w:val="1"/>
          <w:color w:val="auto"/>
        </w:rPr>
        <w:t>Mr. Terry was appointed as Senior Vice President of Corporate Development in July 2019.</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i w:val="1"/>
          <w:iCs w:val="1"/>
          <w:color w:val="225CAB"/>
        </w:rPr>
        <w:t>Determination of Annual Incentives</w:t>
      </w:r>
    </w:p>
    <w:p>
      <w:pPr>
        <w:spacing w:after="0" w:line="76"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Annual cash bonuses are provided to promote achievement of our business objectives of increasing stockholder value based on the achievement of financial, strategic and operational objectives. Our executive officers, including the NEOs, participate in our annual incentive plan.</w:t>
      </w:r>
    </w:p>
    <w:p>
      <w:pPr>
        <w:spacing w:after="0" w:line="112"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Under the annual incentive plan, the compensation committee sets annual target bonus opportunities which are expressed as a percentage of base salary, dependent on the position and scope of responsibilities of each executive. The compensation committee reviews the bonus target percentages and values for each of the executives on an annual basis, and makes adjustments when it deems necessary. The compensation committee approved the following annual target bonus opportunities for the NEOs:</w:t>
      </w:r>
    </w:p>
    <w:p>
      <w:pPr>
        <w:spacing w:after="0" w:line="129"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7980" w:type="dxa"/>
            <w:vAlign w:val="bottom"/>
            <w:tcBorders>
              <w:top w:val="single" w:sz="8" w:color="auto"/>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1"/>
                <w:szCs w:val="11"/>
                <w:b w:val="1"/>
                <w:bCs w:val="1"/>
                <w:color w:val="auto"/>
              </w:rPr>
              <w:t>Executive</w:t>
            </w:r>
          </w:p>
        </w:tc>
        <w:tc>
          <w:tcPr>
            <w:tcW w:w="820" w:type="dxa"/>
            <w:vAlign w:val="bottom"/>
            <w:tcBorders>
              <w:top w:val="single" w:sz="8" w:color="auto"/>
              <w:bottom w:val="single" w:sz="8" w:color="auto"/>
            </w:tcBorders>
            <w:shd w:val="clear" w:color="auto" w:fill="D9E1F2"/>
          </w:tcPr>
          <w:p>
            <w:pPr>
              <w:jc w:val="center"/>
              <w:ind w:left="221"/>
              <w:spacing w:after="0"/>
              <w:rPr>
                <w:sz w:val="20"/>
                <w:szCs w:val="20"/>
                <w:color w:val="auto"/>
              </w:rPr>
            </w:pPr>
            <w:r>
              <w:rPr>
                <w:rFonts w:ascii="Arial" w:cs="Arial" w:eastAsia="Arial" w:hAnsi="Arial"/>
                <w:sz w:val="11"/>
                <w:szCs w:val="11"/>
                <w:b w:val="1"/>
                <w:bCs w:val="1"/>
                <w:color w:val="auto"/>
                <w:w w:val="86"/>
              </w:rPr>
              <w:t>Threshold</w:t>
            </w:r>
          </w:p>
        </w:tc>
        <w:tc>
          <w:tcPr>
            <w:tcW w:w="1680" w:type="dxa"/>
            <w:vAlign w:val="bottom"/>
            <w:tcBorders>
              <w:top w:val="single" w:sz="8" w:color="auto"/>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89"/>
              </w:rPr>
              <w:t>Target</w:t>
            </w:r>
          </w:p>
        </w:tc>
        <w:tc>
          <w:tcPr>
            <w:tcW w:w="840" w:type="dxa"/>
            <w:vAlign w:val="bottom"/>
            <w:tcBorders>
              <w:top w:val="single" w:sz="8" w:color="auto"/>
              <w:bottom w:val="single" w:sz="8" w:color="auto"/>
              <w:right w:val="single" w:sz="8" w:color="auto"/>
            </w:tcBorders>
            <w:shd w:val="clear" w:color="auto" w:fill="D9E1F2"/>
          </w:tcPr>
          <w:p>
            <w:pPr>
              <w:jc w:val="center"/>
              <w:ind w:right="261"/>
              <w:spacing w:after="0"/>
              <w:rPr>
                <w:sz w:val="20"/>
                <w:szCs w:val="20"/>
                <w:color w:val="auto"/>
              </w:rPr>
            </w:pPr>
            <w:r>
              <w:rPr>
                <w:rFonts w:ascii="Arial" w:cs="Arial" w:eastAsia="Arial" w:hAnsi="Arial"/>
                <w:sz w:val="11"/>
                <w:szCs w:val="11"/>
                <w:b w:val="1"/>
                <w:bCs w:val="1"/>
                <w:color w:val="auto"/>
                <w:w w:val="94"/>
              </w:rPr>
              <w:t>Maximum</w:t>
            </w:r>
          </w:p>
        </w:tc>
      </w:tr>
      <w:tr>
        <w:trPr>
          <w:trHeight w:val="142"/>
        </w:trPr>
        <w:tc>
          <w:tcPr>
            <w:tcW w:w="7980" w:type="dxa"/>
            <w:vAlign w:val="bottom"/>
            <w:tcBorders>
              <w:left w:val="single" w:sz="8" w:color="auto"/>
              <w:bottom w:val="single" w:sz="8" w:color="D9E1F2"/>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(Percentage of Annual Base Salary)</w:t>
            </w:r>
          </w:p>
        </w:tc>
        <w:tc>
          <w:tcPr>
            <w:tcW w:w="840" w:type="dxa"/>
            <w:vAlign w:val="bottom"/>
            <w:tcBorders>
              <w:bottom w:val="single" w:sz="8" w:color="auto"/>
              <w:right w:val="single" w:sz="8" w:color="auto"/>
            </w:tcBorders>
          </w:tcPr>
          <w:p>
            <w:pPr>
              <w:spacing w:after="0"/>
              <w:rPr>
                <w:sz w:val="12"/>
                <w:szCs w:val="12"/>
                <w:color w:val="auto"/>
              </w:rPr>
            </w:pPr>
          </w:p>
        </w:tc>
      </w:tr>
      <w:tr>
        <w:trPr>
          <w:trHeight w:val="162"/>
        </w:trPr>
        <w:tc>
          <w:tcPr>
            <w:tcW w:w="79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M. Jay Allison, </w:t>
            </w:r>
            <w:r>
              <w:rPr>
                <w:rFonts w:ascii="Arial" w:cs="Arial" w:eastAsia="Arial" w:hAnsi="Arial"/>
                <w:sz w:val="10"/>
                <w:szCs w:val="10"/>
                <w:i w:val="1"/>
                <w:iCs w:val="1"/>
                <w:color w:val="auto"/>
              </w:rPr>
              <w:t>Chief Executive Officer</w:t>
            </w:r>
          </w:p>
        </w:tc>
        <w:tc>
          <w:tcPr>
            <w:tcW w:w="820" w:type="dxa"/>
            <w:vAlign w:val="bottom"/>
            <w:shd w:val="clear" w:color="auto" w:fill="D9E1F2"/>
          </w:tcPr>
          <w:p>
            <w:pPr>
              <w:jc w:val="center"/>
              <w:ind w:left="221"/>
              <w:spacing w:after="0"/>
              <w:rPr>
                <w:sz w:val="20"/>
                <w:szCs w:val="20"/>
                <w:color w:val="auto"/>
              </w:rPr>
            </w:pPr>
            <w:r>
              <w:rPr>
                <w:rFonts w:ascii="Arial" w:cs="Arial" w:eastAsia="Arial" w:hAnsi="Arial"/>
                <w:sz w:val="12"/>
                <w:szCs w:val="12"/>
                <w:color w:val="auto"/>
                <w:w w:val="91"/>
              </w:rPr>
              <w:t>50%</w:t>
            </w:r>
          </w:p>
        </w:tc>
        <w:tc>
          <w:tcPr>
            <w:tcW w:w="168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1"/>
              </w:rPr>
              <w:t>100%</w:t>
            </w:r>
          </w:p>
        </w:tc>
        <w:tc>
          <w:tcPr>
            <w:tcW w:w="840" w:type="dxa"/>
            <w:vAlign w:val="bottom"/>
            <w:tcBorders>
              <w:right w:val="single" w:sz="8" w:color="auto"/>
            </w:tcBorders>
            <w:shd w:val="clear" w:color="auto" w:fill="D9E1F2"/>
          </w:tcPr>
          <w:p>
            <w:pPr>
              <w:jc w:val="center"/>
              <w:ind w:right="261"/>
              <w:spacing w:after="0"/>
              <w:rPr>
                <w:sz w:val="20"/>
                <w:szCs w:val="20"/>
                <w:color w:val="auto"/>
              </w:rPr>
            </w:pPr>
            <w:r>
              <w:rPr>
                <w:rFonts w:ascii="Arial" w:cs="Arial" w:eastAsia="Arial" w:hAnsi="Arial"/>
                <w:sz w:val="12"/>
                <w:szCs w:val="12"/>
                <w:color w:val="auto"/>
                <w:w w:val="91"/>
              </w:rPr>
              <w:t>200%</w:t>
            </w:r>
          </w:p>
        </w:tc>
      </w:tr>
      <w:tr>
        <w:trPr>
          <w:trHeight w:val="171"/>
        </w:trPr>
        <w:tc>
          <w:tcPr>
            <w:tcW w:w="79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 xml:space="preserve">Roland O. Burns, </w:t>
            </w:r>
            <w:r>
              <w:rPr>
                <w:rFonts w:ascii="Arial" w:cs="Arial" w:eastAsia="Arial" w:hAnsi="Arial"/>
                <w:sz w:val="10"/>
                <w:szCs w:val="10"/>
                <w:i w:val="1"/>
                <w:iCs w:val="1"/>
                <w:color w:val="auto"/>
              </w:rPr>
              <w:t>President and Chief Financial Officer</w:t>
            </w:r>
          </w:p>
        </w:tc>
        <w:tc>
          <w:tcPr>
            <w:tcW w:w="820" w:type="dxa"/>
            <w:vAlign w:val="bottom"/>
          </w:tcPr>
          <w:p>
            <w:pPr>
              <w:jc w:val="center"/>
              <w:ind w:left="221"/>
              <w:spacing w:after="0"/>
              <w:rPr>
                <w:sz w:val="20"/>
                <w:szCs w:val="20"/>
                <w:color w:val="auto"/>
              </w:rPr>
            </w:pPr>
            <w:r>
              <w:rPr>
                <w:rFonts w:ascii="Arial" w:cs="Arial" w:eastAsia="Arial" w:hAnsi="Arial"/>
                <w:sz w:val="12"/>
                <w:szCs w:val="12"/>
                <w:color w:val="auto"/>
                <w:w w:val="91"/>
              </w:rPr>
              <w:t>45%</w:t>
            </w:r>
          </w:p>
        </w:tc>
        <w:tc>
          <w:tcPr>
            <w:tcW w:w="1680" w:type="dxa"/>
            <w:vAlign w:val="bottom"/>
          </w:tcPr>
          <w:p>
            <w:pPr>
              <w:jc w:val="center"/>
              <w:spacing w:after="0"/>
              <w:rPr>
                <w:sz w:val="20"/>
                <w:szCs w:val="20"/>
                <w:color w:val="auto"/>
              </w:rPr>
            </w:pPr>
            <w:r>
              <w:rPr>
                <w:rFonts w:ascii="Arial" w:cs="Arial" w:eastAsia="Arial" w:hAnsi="Arial"/>
                <w:sz w:val="12"/>
                <w:szCs w:val="12"/>
                <w:color w:val="auto"/>
                <w:w w:val="91"/>
              </w:rPr>
              <w:t>90%</w:t>
            </w:r>
          </w:p>
        </w:tc>
        <w:tc>
          <w:tcPr>
            <w:tcW w:w="840" w:type="dxa"/>
            <w:vAlign w:val="bottom"/>
            <w:tcBorders>
              <w:right w:val="single" w:sz="8" w:color="auto"/>
            </w:tcBorders>
          </w:tcPr>
          <w:p>
            <w:pPr>
              <w:jc w:val="center"/>
              <w:ind w:right="261"/>
              <w:spacing w:after="0"/>
              <w:rPr>
                <w:sz w:val="20"/>
                <w:szCs w:val="20"/>
                <w:color w:val="auto"/>
              </w:rPr>
            </w:pPr>
            <w:r>
              <w:rPr>
                <w:rFonts w:ascii="Arial" w:cs="Arial" w:eastAsia="Arial" w:hAnsi="Arial"/>
                <w:sz w:val="12"/>
                <w:szCs w:val="12"/>
                <w:color w:val="auto"/>
                <w:w w:val="91"/>
              </w:rPr>
              <w:t>180%</w:t>
            </w:r>
          </w:p>
        </w:tc>
      </w:tr>
      <w:tr>
        <w:trPr>
          <w:trHeight w:val="189"/>
        </w:trPr>
        <w:tc>
          <w:tcPr>
            <w:tcW w:w="79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Daniel S. Harrison, </w:t>
            </w:r>
            <w:r>
              <w:rPr>
                <w:rFonts w:ascii="Arial" w:cs="Arial" w:eastAsia="Arial" w:hAnsi="Arial"/>
                <w:sz w:val="10"/>
                <w:szCs w:val="10"/>
                <w:i w:val="1"/>
                <w:iCs w:val="1"/>
                <w:color w:val="auto"/>
              </w:rPr>
              <w:t>Chief Operating Officer</w:t>
            </w:r>
          </w:p>
        </w:tc>
        <w:tc>
          <w:tcPr>
            <w:tcW w:w="820" w:type="dxa"/>
            <w:vAlign w:val="bottom"/>
            <w:shd w:val="clear" w:color="auto" w:fill="D9E1F2"/>
          </w:tcPr>
          <w:p>
            <w:pPr>
              <w:jc w:val="center"/>
              <w:ind w:left="221"/>
              <w:spacing w:after="0"/>
              <w:rPr>
                <w:sz w:val="20"/>
                <w:szCs w:val="20"/>
                <w:color w:val="auto"/>
              </w:rPr>
            </w:pPr>
            <w:r>
              <w:rPr>
                <w:rFonts w:ascii="Arial" w:cs="Arial" w:eastAsia="Arial" w:hAnsi="Arial"/>
                <w:sz w:val="12"/>
                <w:szCs w:val="12"/>
                <w:color w:val="auto"/>
                <w:w w:val="91"/>
              </w:rPr>
              <w:t>40%</w:t>
            </w:r>
          </w:p>
        </w:tc>
        <w:tc>
          <w:tcPr>
            <w:tcW w:w="168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1"/>
              </w:rPr>
              <w:t>80%</w:t>
            </w:r>
          </w:p>
        </w:tc>
        <w:tc>
          <w:tcPr>
            <w:tcW w:w="840" w:type="dxa"/>
            <w:vAlign w:val="bottom"/>
            <w:tcBorders>
              <w:right w:val="single" w:sz="8" w:color="auto"/>
            </w:tcBorders>
            <w:shd w:val="clear" w:color="auto" w:fill="D9E1F2"/>
          </w:tcPr>
          <w:p>
            <w:pPr>
              <w:jc w:val="center"/>
              <w:ind w:right="261"/>
              <w:spacing w:after="0"/>
              <w:rPr>
                <w:sz w:val="20"/>
                <w:szCs w:val="20"/>
                <w:color w:val="auto"/>
              </w:rPr>
            </w:pPr>
            <w:r>
              <w:rPr>
                <w:rFonts w:ascii="Arial" w:cs="Arial" w:eastAsia="Arial" w:hAnsi="Arial"/>
                <w:sz w:val="12"/>
                <w:szCs w:val="12"/>
                <w:color w:val="auto"/>
                <w:w w:val="91"/>
              </w:rPr>
              <w:t>160%</w:t>
            </w:r>
          </w:p>
        </w:tc>
      </w:tr>
      <w:tr>
        <w:trPr>
          <w:trHeight w:val="171"/>
        </w:trPr>
        <w:tc>
          <w:tcPr>
            <w:tcW w:w="79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 xml:space="preserve">David J. Terry, </w:t>
            </w:r>
            <w:r>
              <w:rPr>
                <w:rFonts w:ascii="Arial" w:cs="Arial" w:eastAsia="Arial" w:hAnsi="Arial"/>
                <w:sz w:val="10"/>
                <w:szCs w:val="10"/>
                <w:i w:val="1"/>
                <w:iCs w:val="1"/>
                <w:color w:val="auto"/>
              </w:rPr>
              <w:t>Senior Vice President of Corporate Development</w:t>
            </w:r>
          </w:p>
        </w:tc>
        <w:tc>
          <w:tcPr>
            <w:tcW w:w="820" w:type="dxa"/>
            <w:vAlign w:val="bottom"/>
          </w:tcPr>
          <w:p>
            <w:pPr>
              <w:jc w:val="center"/>
              <w:ind w:left="221"/>
              <w:spacing w:after="0"/>
              <w:rPr>
                <w:sz w:val="20"/>
                <w:szCs w:val="20"/>
                <w:color w:val="auto"/>
              </w:rPr>
            </w:pPr>
            <w:r>
              <w:rPr>
                <w:rFonts w:ascii="Arial" w:cs="Arial" w:eastAsia="Arial" w:hAnsi="Arial"/>
                <w:sz w:val="12"/>
                <w:szCs w:val="12"/>
                <w:color w:val="auto"/>
                <w:w w:val="91"/>
              </w:rPr>
              <w:t>35%</w:t>
            </w:r>
          </w:p>
        </w:tc>
        <w:tc>
          <w:tcPr>
            <w:tcW w:w="1680" w:type="dxa"/>
            <w:vAlign w:val="bottom"/>
          </w:tcPr>
          <w:p>
            <w:pPr>
              <w:jc w:val="center"/>
              <w:spacing w:after="0"/>
              <w:rPr>
                <w:sz w:val="20"/>
                <w:szCs w:val="20"/>
                <w:color w:val="auto"/>
              </w:rPr>
            </w:pPr>
            <w:r>
              <w:rPr>
                <w:rFonts w:ascii="Arial" w:cs="Arial" w:eastAsia="Arial" w:hAnsi="Arial"/>
                <w:sz w:val="12"/>
                <w:szCs w:val="12"/>
                <w:color w:val="auto"/>
                <w:w w:val="91"/>
              </w:rPr>
              <w:t>70%</w:t>
            </w:r>
          </w:p>
        </w:tc>
        <w:tc>
          <w:tcPr>
            <w:tcW w:w="840" w:type="dxa"/>
            <w:vAlign w:val="bottom"/>
            <w:tcBorders>
              <w:right w:val="single" w:sz="8" w:color="auto"/>
            </w:tcBorders>
          </w:tcPr>
          <w:p>
            <w:pPr>
              <w:jc w:val="center"/>
              <w:ind w:right="261"/>
              <w:spacing w:after="0"/>
              <w:rPr>
                <w:sz w:val="20"/>
                <w:szCs w:val="20"/>
                <w:color w:val="auto"/>
              </w:rPr>
            </w:pPr>
            <w:r>
              <w:rPr>
                <w:rFonts w:ascii="Arial" w:cs="Arial" w:eastAsia="Arial" w:hAnsi="Arial"/>
                <w:sz w:val="12"/>
                <w:szCs w:val="12"/>
                <w:color w:val="auto"/>
                <w:w w:val="91"/>
              </w:rPr>
              <w:t>140%</w:t>
            </w:r>
          </w:p>
        </w:tc>
      </w:tr>
      <w:tr>
        <w:trPr>
          <w:trHeight w:val="180"/>
        </w:trPr>
        <w:tc>
          <w:tcPr>
            <w:tcW w:w="79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Daniel K. Presley, </w:t>
            </w:r>
            <w:r>
              <w:rPr>
                <w:rFonts w:ascii="Arial" w:cs="Arial" w:eastAsia="Arial" w:hAnsi="Arial"/>
                <w:sz w:val="10"/>
                <w:szCs w:val="10"/>
                <w:i w:val="1"/>
                <w:iCs w:val="1"/>
                <w:color w:val="auto"/>
              </w:rPr>
              <w:t>Vice President of Accounting</w:t>
            </w:r>
          </w:p>
        </w:tc>
        <w:tc>
          <w:tcPr>
            <w:tcW w:w="820" w:type="dxa"/>
            <w:vAlign w:val="bottom"/>
            <w:tcBorders>
              <w:bottom w:val="single" w:sz="8" w:color="auto"/>
            </w:tcBorders>
            <w:shd w:val="clear" w:color="auto" w:fill="D9E1F2"/>
          </w:tcPr>
          <w:p>
            <w:pPr>
              <w:jc w:val="center"/>
              <w:ind w:left="221"/>
              <w:spacing w:after="0"/>
              <w:rPr>
                <w:sz w:val="20"/>
                <w:szCs w:val="20"/>
                <w:color w:val="auto"/>
              </w:rPr>
            </w:pPr>
            <w:r>
              <w:rPr>
                <w:rFonts w:ascii="Arial" w:cs="Arial" w:eastAsia="Arial" w:hAnsi="Arial"/>
                <w:sz w:val="12"/>
                <w:szCs w:val="12"/>
                <w:color w:val="auto"/>
                <w:w w:val="91"/>
              </w:rPr>
              <w:t>30%</w:t>
            </w:r>
          </w:p>
        </w:tc>
        <w:tc>
          <w:tcPr>
            <w:tcW w:w="168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91"/>
              </w:rPr>
              <w:t>60%</w:t>
            </w:r>
          </w:p>
        </w:tc>
        <w:tc>
          <w:tcPr>
            <w:tcW w:w="840" w:type="dxa"/>
            <w:vAlign w:val="bottom"/>
            <w:tcBorders>
              <w:bottom w:val="single" w:sz="8" w:color="auto"/>
              <w:right w:val="single" w:sz="8" w:color="auto"/>
            </w:tcBorders>
            <w:shd w:val="clear" w:color="auto" w:fill="D9E1F2"/>
          </w:tcPr>
          <w:p>
            <w:pPr>
              <w:jc w:val="center"/>
              <w:ind w:right="261"/>
              <w:spacing w:after="0"/>
              <w:rPr>
                <w:sz w:val="20"/>
                <w:szCs w:val="20"/>
                <w:color w:val="auto"/>
              </w:rPr>
            </w:pPr>
            <w:r>
              <w:rPr>
                <w:rFonts w:ascii="Arial" w:cs="Arial" w:eastAsia="Arial" w:hAnsi="Arial"/>
                <w:sz w:val="12"/>
                <w:szCs w:val="12"/>
                <w:color w:val="auto"/>
                <w:w w:val="91"/>
              </w:rPr>
              <w:t>120%</w:t>
            </w:r>
          </w:p>
        </w:tc>
      </w:tr>
    </w:tbl>
    <w:p>
      <w:pPr>
        <w:spacing w:after="0" w:line="196"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Each NEO had the opportunity to earn cash bonus awards within a range of 0% to a maximum of 200% of the NEO's target bonus opportunity, based on the Company's performance relative to pre-determined performance measures and goal levels.</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8"/>
          </w:cols>
          <w:pgMar w:left="292" w:top="131"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For 2020, performance measures, weighing of each performance measure and goal levels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83755" cy="1274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127444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Borders>
              <w:bottom w:val="single" w:sz="8" w:color="auto"/>
            </w:tcBorders>
            <w:shd w:val="clear" w:color="auto" w:fill="D9E1F2"/>
          </w:tcPr>
          <w:p>
            <w:pPr>
              <w:spacing w:after="0"/>
              <w:rPr>
                <w:sz w:val="13"/>
                <w:szCs w:val="13"/>
                <w:color w:val="auto"/>
              </w:rPr>
            </w:pPr>
          </w:p>
        </w:tc>
        <w:tc>
          <w:tcPr>
            <w:tcW w:w="2380" w:type="dxa"/>
            <w:vAlign w:val="bottom"/>
            <w:tcBorders>
              <w:bottom w:val="single" w:sz="8" w:color="auto"/>
            </w:tcBorders>
            <w:shd w:val="clear" w:color="auto" w:fill="D9E1F2"/>
          </w:tcPr>
          <w:p>
            <w:pPr>
              <w:jc w:val="center"/>
              <w:ind w:left="1041"/>
              <w:spacing w:after="0"/>
              <w:rPr>
                <w:sz w:val="20"/>
                <w:szCs w:val="20"/>
                <w:color w:val="auto"/>
              </w:rPr>
            </w:pPr>
            <w:r>
              <w:rPr>
                <w:rFonts w:ascii="Arial" w:cs="Arial" w:eastAsia="Arial" w:hAnsi="Arial"/>
                <w:sz w:val="11"/>
                <w:szCs w:val="11"/>
                <w:b w:val="1"/>
                <w:bCs w:val="1"/>
                <w:color w:val="auto"/>
                <w:w w:val="90"/>
              </w:rPr>
              <w:t>Weighting</w:t>
            </w:r>
          </w:p>
        </w:tc>
        <w:tc>
          <w:tcPr>
            <w:tcW w:w="152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86"/>
              </w:rPr>
              <w:t>Threshold</w:t>
            </w:r>
          </w:p>
        </w:tc>
        <w:tc>
          <w:tcPr>
            <w:tcW w:w="150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89"/>
              </w:rPr>
              <w:t>Target</w:t>
            </w:r>
          </w:p>
        </w:tc>
        <w:tc>
          <w:tcPr>
            <w:tcW w:w="150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94"/>
              </w:rPr>
              <w:t>Maximum</w:t>
            </w:r>
          </w:p>
        </w:tc>
      </w:tr>
      <w:tr>
        <w:trPr>
          <w:trHeight w:val="142"/>
        </w:trPr>
        <w:tc>
          <w:tcPr>
            <w:tcW w:w="4400" w:type="dxa"/>
            <w:vAlign w:val="bottom"/>
          </w:tcPr>
          <w:p>
            <w:pPr>
              <w:ind w:left="20"/>
              <w:spacing w:after="0"/>
              <w:rPr>
                <w:sz w:val="20"/>
                <w:szCs w:val="20"/>
                <w:color w:val="auto"/>
              </w:rPr>
            </w:pPr>
            <w:r>
              <w:rPr>
                <w:rFonts w:ascii="Arial" w:cs="Arial" w:eastAsia="Arial" w:hAnsi="Arial"/>
                <w:sz w:val="12"/>
                <w:szCs w:val="12"/>
                <w:color w:val="auto"/>
              </w:rPr>
              <w:t>Return on Average Equity</w:t>
            </w:r>
          </w:p>
        </w:tc>
        <w:tc>
          <w:tcPr>
            <w:tcW w:w="2380" w:type="dxa"/>
            <w:vAlign w:val="bottom"/>
          </w:tcPr>
          <w:p>
            <w:pPr>
              <w:jc w:val="center"/>
              <w:ind w:left="1021"/>
              <w:spacing w:after="0"/>
              <w:rPr>
                <w:sz w:val="20"/>
                <w:szCs w:val="20"/>
                <w:color w:val="auto"/>
              </w:rPr>
            </w:pPr>
            <w:r>
              <w:rPr>
                <w:rFonts w:ascii="Arial" w:cs="Arial" w:eastAsia="Arial" w:hAnsi="Arial"/>
                <w:sz w:val="12"/>
                <w:szCs w:val="12"/>
                <w:color w:val="auto"/>
                <w:w w:val="91"/>
              </w:rPr>
              <w:t>15%</w:t>
            </w:r>
          </w:p>
        </w:tc>
        <w:tc>
          <w:tcPr>
            <w:tcW w:w="1520" w:type="dxa"/>
            <w:vAlign w:val="bottom"/>
          </w:tcPr>
          <w:p>
            <w:pPr>
              <w:jc w:val="center"/>
              <w:spacing w:after="0"/>
              <w:rPr>
                <w:sz w:val="20"/>
                <w:szCs w:val="20"/>
                <w:color w:val="auto"/>
              </w:rPr>
            </w:pPr>
            <w:r>
              <w:rPr>
                <w:rFonts w:ascii="Arial" w:cs="Arial" w:eastAsia="Arial" w:hAnsi="Arial"/>
                <w:sz w:val="12"/>
                <w:szCs w:val="12"/>
                <w:color w:val="auto"/>
                <w:w w:val="91"/>
              </w:rPr>
              <w:t>4%</w:t>
            </w: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7%</w:t>
            </w: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10%</w:t>
            </w:r>
          </w:p>
        </w:tc>
      </w:tr>
      <w:tr>
        <w:trPr>
          <w:trHeight w:val="153"/>
        </w:trPr>
        <w:tc>
          <w:tcPr>
            <w:tcW w:w="4400" w:type="dxa"/>
            <w:vAlign w:val="bottom"/>
            <w:shd w:val="clear" w:color="auto" w:fill="D9E1F2"/>
          </w:tcPr>
          <w:p>
            <w:pPr>
              <w:ind w:left="20"/>
              <w:spacing w:after="0"/>
              <w:rPr>
                <w:sz w:val="20"/>
                <w:szCs w:val="20"/>
                <w:color w:val="auto"/>
              </w:rPr>
            </w:pPr>
            <w:r>
              <w:rPr>
                <w:rFonts w:ascii="Arial" w:cs="Arial" w:eastAsia="Arial" w:hAnsi="Arial"/>
                <w:sz w:val="12"/>
                <w:szCs w:val="12"/>
                <w:color w:val="auto"/>
              </w:rPr>
              <w:t>Free Cash Flow Generation</w:t>
            </w:r>
          </w:p>
        </w:tc>
        <w:tc>
          <w:tcPr>
            <w:tcW w:w="2380" w:type="dxa"/>
            <w:vAlign w:val="bottom"/>
            <w:shd w:val="clear" w:color="auto" w:fill="D9E1F2"/>
          </w:tcPr>
          <w:p>
            <w:pPr>
              <w:jc w:val="center"/>
              <w:ind w:left="1021"/>
              <w:spacing w:after="0"/>
              <w:rPr>
                <w:sz w:val="20"/>
                <w:szCs w:val="20"/>
                <w:color w:val="auto"/>
              </w:rPr>
            </w:pPr>
            <w:r>
              <w:rPr>
                <w:rFonts w:ascii="Arial" w:cs="Arial" w:eastAsia="Arial" w:hAnsi="Arial"/>
                <w:sz w:val="12"/>
                <w:szCs w:val="12"/>
                <w:color w:val="auto"/>
                <w:w w:val="91"/>
              </w:rPr>
              <w:t>15%</w:t>
            </w:r>
          </w:p>
        </w:tc>
        <w:tc>
          <w:tcPr>
            <w:tcW w:w="152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4"/>
              </w:rPr>
              <w:t>&gt; $140 million</w:t>
            </w:r>
          </w:p>
        </w:tc>
        <w:tc>
          <w:tcPr>
            <w:tcW w:w="150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4"/>
              </w:rPr>
              <w:t>&gt; $180 million</w:t>
            </w:r>
          </w:p>
        </w:tc>
        <w:tc>
          <w:tcPr>
            <w:tcW w:w="150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4"/>
              </w:rPr>
              <w:t>&gt; $220 million</w:t>
            </w:r>
          </w:p>
        </w:tc>
      </w:tr>
      <w:tr>
        <w:trPr>
          <w:trHeight w:val="153"/>
        </w:trPr>
        <w:tc>
          <w:tcPr>
            <w:tcW w:w="4400" w:type="dxa"/>
            <w:vAlign w:val="bottom"/>
          </w:tcPr>
          <w:p>
            <w:pPr>
              <w:ind w:left="20"/>
              <w:spacing w:after="0"/>
              <w:rPr>
                <w:sz w:val="20"/>
                <w:szCs w:val="20"/>
                <w:color w:val="auto"/>
              </w:rPr>
            </w:pPr>
            <w:r>
              <w:rPr>
                <w:rFonts w:ascii="Arial" w:cs="Arial" w:eastAsia="Arial" w:hAnsi="Arial"/>
                <w:sz w:val="12"/>
                <w:szCs w:val="12"/>
                <w:color w:val="auto"/>
              </w:rPr>
              <w:t>Well Cost Efficiency (per completed lateral foot)</w:t>
            </w:r>
          </w:p>
        </w:tc>
        <w:tc>
          <w:tcPr>
            <w:tcW w:w="2380" w:type="dxa"/>
            <w:vAlign w:val="bottom"/>
          </w:tcPr>
          <w:p>
            <w:pPr>
              <w:jc w:val="center"/>
              <w:ind w:left="1021"/>
              <w:spacing w:after="0"/>
              <w:rPr>
                <w:sz w:val="20"/>
                <w:szCs w:val="20"/>
                <w:color w:val="auto"/>
              </w:rPr>
            </w:pPr>
            <w:r>
              <w:rPr>
                <w:rFonts w:ascii="Arial" w:cs="Arial" w:eastAsia="Arial" w:hAnsi="Arial"/>
                <w:sz w:val="12"/>
                <w:szCs w:val="12"/>
                <w:color w:val="auto"/>
                <w:w w:val="91"/>
              </w:rPr>
              <w:t>15%</w:t>
            </w:r>
          </w:p>
        </w:tc>
        <w:tc>
          <w:tcPr>
            <w:tcW w:w="1520" w:type="dxa"/>
            <w:vAlign w:val="bottom"/>
          </w:tcPr>
          <w:p>
            <w:pPr>
              <w:jc w:val="center"/>
              <w:spacing w:after="0"/>
              <w:rPr>
                <w:sz w:val="20"/>
                <w:szCs w:val="20"/>
                <w:color w:val="auto"/>
              </w:rPr>
            </w:pPr>
            <w:r>
              <w:rPr>
                <w:rFonts w:ascii="Arial" w:cs="Arial" w:eastAsia="Arial" w:hAnsi="Arial"/>
                <w:sz w:val="12"/>
                <w:szCs w:val="12"/>
                <w:color w:val="auto"/>
                <w:w w:val="89"/>
              </w:rPr>
              <w:t>&lt; $1,200</w:t>
            </w:r>
          </w:p>
        </w:tc>
        <w:tc>
          <w:tcPr>
            <w:tcW w:w="1500" w:type="dxa"/>
            <w:vAlign w:val="bottom"/>
          </w:tcPr>
          <w:p>
            <w:pPr>
              <w:jc w:val="center"/>
              <w:spacing w:after="0"/>
              <w:rPr>
                <w:sz w:val="20"/>
                <w:szCs w:val="20"/>
                <w:color w:val="auto"/>
              </w:rPr>
            </w:pPr>
            <w:r>
              <w:rPr>
                <w:rFonts w:ascii="Arial" w:cs="Arial" w:eastAsia="Arial" w:hAnsi="Arial"/>
                <w:sz w:val="12"/>
                <w:szCs w:val="12"/>
                <w:color w:val="auto"/>
                <w:w w:val="89"/>
              </w:rPr>
              <w:t>&lt; $1,100</w:t>
            </w:r>
          </w:p>
        </w:tc>
        <w:tc>
          <w:tcPr>
            <w:tcW w:w="1500" w:type="dxa"/>
            <w:vAlign w:val="bottom"/>
          </w:tcPr>
          <w:p>
            <w:pPr>
              <w:jc w:val="center"/>
              <w:spacing w:after="0"/>
              <w:rPr>
                <w:sz w:val="20"/>
                <w:szCs w:val="20"/>
                <w:color w:val="auto"/>
              </w:rPr>
            </w:pPr>
            <w:r>
              <w:rPr>
                <w:rFonts w:ascii="Arial" w:cs="Arial" w:eastAsia="Arial" w:hAnsi="Arial"/>
                <w:sz w:val="12"/>
                <w:szCs w:val="12"/>
                <w:color w:val="auto"/>
                <w:w w:val="89"/>
              </w:rPr>
              <w:t>&lt; $1,000</w:t>
            </w:r>
          </w:p>
        </w:tc>
      </w:tr>
      <w:tr>
        <w:trPr>
          <w:trHeight w:val="153"/>
        </w:trPr>
        <w:tc>
          <w:tcPr>
            <w:tcW w:w="4400" w:type="dxa"/>
            <w:vAlign w:val="bottom"/>
            <w:shd w:val="clear" w:color="auto" w:fill="D9E1F2"/>
          </w:tcPr>
          <w:p>
            <w:pPr>
              <w:ind w:left="20"/>
              <w:spacing w:after="0"/>
              <w:rPr>
                <w:sz w:val="20"/>
                <w:szCs w:val="20"/>
                <w:color w:val="auto"/>
              </w:rPr>
            </w:pPr>
            <w:r>
              <w:rPr>
                <w:rFonts w:ascii="Arial" w:cs="Arial" w:eastAsia="Arial" w:hAnsi="Arial"/>
                <w:sz w:val="12"/>
                <w:szCs w:val="12"/>
                <w:color w:val="auto"/>
              </w:rPr>
              <w:t>Operating Efficiency % (reduction in lifting costs per Mcfe)</w:t>
            </w:r>
          </w:p>
        </w:tc>
        <w:tc>
          <w:tcPr>
            <w:tcW w:w="2380" w:type="dxa"/>
            <w:vAlign w:val="bottom"/>
            <w:shd w:val="clear" w:color="auto" w:fill="D9E1F2"/>
          </w:tcPr>
          <w:p>
            <w:pPr>
              <w:jc w:val="center"/>
              <w:ind w:left="1021"/>
              <w:spacing w:after="0"/>
              <w:rPr>
                <w:sz w:val="20"/>
                <w:szCs w:val="20"/>
                <w:color w:val="auto"/>
              </w:rPr>
            </w:pPr>
            <w:r>
              <w:rPr>
                <w:rFonts w:ascii="Arial" w:cs="Arial" w:eastAsia="Arial" w:hAnsi="Arial"/>
                <w:sz w:val="12"/>
                <w:szCs w:val="12"/>
                <w:color w:val="auto"/>
                <w:w w:val="91"/>
              </w:rPr>
              <w:t>15%</w:t>
            </w:r>
          </w:p>
        </w:tc>
        <w:tc>
          <w:tcPr>
            <w:tcW w:w="152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1"/>
              </w:rPr>
              <w:t>3%</w:t>
            </w:r>
          </w:p>
        </w:tc>
        <w:tc>
          <w:tcPr>
            <w:tcW w:w="150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1"/>
              </w:rPr>
              <w:t>5%</w:t>
            </w:r>
          </w:p>
        </w:tc>
        <w:tc>
          <w:tcPr>
            <w:tcW w:w="150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1"/>
              </w:rPr>
              <w:t>10%</w:t>
            </w:r>
          </w:p>
        </w:tc>
      </w:tr>
      <w:tr>
        <w:trPr>
          <w:trHeight w:val="153"/>
        </w:trPr>
        <w:tc>
          <w:tcPr>
            <w:tcW w:w="4400" w:type="dxa"/>
            <w:vAlign w:val="bottom"/>
          </w:tcPr>
          <w:p>
            <w:pPr>
              <w:ind w:left="20"/>
              <w:spacing w:after="0"/>
              <w:rPr>
                <w:sz w:val="20"/>
                <w:szCs w:val="20"/>
                <w:color w:val="auto"/>
              </w:rPr>
            </w:pPr>
            <w:r>
              <w:rPr>
                <w:rFonts w:ascii="Arial" w:cs="Arial" w:eastAsia="Arial" w:hAnsi="Arial"/>
                <w:sz w:val="12"/>
                <w:szCs w:val="12"/>
                <w:color w:val="auto"/>
              </w:rPr>
              <w:t>Reserve Replacement %</w:t>
            </w:r>
          </w:p>
        </w:tc>
        <w:tc>
          <w:tcPr>
            <w:tcW w:w="2380" w:type="dxa"/>
            <w:vAlign w:val="bottom"/>
          </w:tcPr>
          <w:p>
            <w:pPr>
              <w:jc w:val="center"/>
              <w:ind w:left="1021"/>
              <w:spacing w:after="0"/>
              <w:rPr>
                <w:sz w:val="20"/>
                <w:szCs w:val="20"/>
                <w:color w:val="auto"/>
              </w:rPr>
            </w:pPr>
            <w:r>
              <w:rPr>
                <w:rFonts w:ascii="Arial" w:cs="Arial" w:eastAsia="Arial" w:hAnsi="Arial"/>
                <w:sz w:val="12"/>
                <w:szCs w:val="12"/>
                <w:color w:val="auto"/>
                <w:w w:val="91"/>
              </w:rPr>
              <w:t>15%</w:t>
            </w:r>
          </w:p>
        </w:tc>
        <w:tc>
          <w:tcPr>
            <w:tcW w:w="1520" w:type="dxa"/>
            <w:vAlign w:val="bottom"/>
          </w:tcPr>
          <w:p>
            <w:pPr>
              <w:jc w:val="center"/>
              <w:spacing w:after="0"/>
              <w:rPr>
                <w:sz w:val="20"/>
                <w:szCs w:val="20"/>
                <w:color w:val="auto"/>
              </w:rPr>
            </w:pPr>
            <w:r>
              <w:rPr>
                <w:rFonts w:ascii="Arial" w:cs="Arial" w:eastAsia="Arial" w:hAnsi="Arial"/>
                <w:sz w:val="12"/>
                <w:szCs w:val="12"/>
                <w:color w:val="auto"/>
                <w:w w:val="91"/>
              </w:rPr>
              <w:t>75%</w:t>
            </w:r>
          </w:p>
        </w:tc>
        <w:tc>
          <w:tcPr>
            <w:tcW w:w="1500" w:type="dxa"/>
            <w:vAlign w:val="bottom"/>
          </w:tcPr>
          <w:p>
            <w:pPr>
              <w:jc w:val="center"/>
              <w:spacing w:after="0"/>
              <w:rPr>
                <w:sz w:val="20"/>
                <w:szCs w:val="20"/>
                <w:color w:val="auto"/>
              </w:rPr>
            </w:pPr>
            <w:r>
              <w:rPr>
                <w:rFonts w:ascii="Arial" w:cs="Arial" w:eastAsia="Arial" w:hAnsi="Arial"/>
                <w:sz w:val="12"/>
                <w:szCs w:val="12"/>
                <w:color w:val="auto"/>
                <w:w w:val="84"/>
              </w:rPr>
              <w:t>110%</w:t>
            </w: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180%</w:t>
            </w:r>
          </w:p>
        </w:tc>
      </w:tr>
      <w:tr>
        <w:trPr>
          <w:trHeight w:val="153"/>
        </w:trPr>
        <w:tc>
          <w:tcPr>
            <w:tcW w:w="4400" w:type="dxa"/>
            <w:vAlign w:val="bottom"/>
            <w:shd w:val="clear" w:color="auto" w:fill="D9E1F2"/>
          </w:tcPr>
          <w:p>
            <w:pPr>
              <w:ind w:left="20"/>
              <w:spacing w:after="0"/>
              <w:rPr>
                <w:sz w:val="20"/>
                <w:szCs w:val="20"/>
                <w:color w:val="auto"/>
              </w:rPr>
            </w:pPr>
            <w:r>
              <w:rPr>
                <w:rFonts w:ascii="Arial" w:cs="Arial" w:eastAsia="Arial" w:hAnsi="Arial"/>
                <w:sz w:val="12"/>
                <w:szCs w:val="12"/>
                <w:color w:val="auto"/>
              </w:rPr>
              <w:t>Strategic and Operational Objectives</w:t>
            </w:r>
          </w:p>
        </w:tc>
        <w:tc>
          <w:tcPr>
            <w:tcW w:w="2380" w:type="dxa"/>
            <w:vAlign w:val="bottom"/>
            <w:shd w:val="clear" w:color="auto" w:fill="D9E1F2"/>
          </w:tcPr>
          <w:p>
            <w:pPr>
              <w:jc w:val="center"/>
              <w:ind w:left="1021"/>
              <w:spacing w:after="0"/>
              <w:rPr>
                <w:sz w:val="20"/>
                <w:szCs w:val="20"/>
                <w:color w:val="auto"/>
              </w:rPr>
            </w:pPr>
            <w:r>
              <w:rPr>
                <w:rFonts w:ascii="Arial" w:cs="Arial" w:eastAsia="Arial" w:hAnsi="Arial"/>
                <w:sz w:val="12"/>
                <w:szCs w:val="12"/>
                <w:color w:val="auto"/>
                <w:w w:val="91"/>
              </w:rPr>
              <w:t>25%</w:t>
            </w:r>
          </w:p>
        </w:tc>
        <w:tc>
          <w:tcPr>
            <w:tcW w:w="1520" w:type="dxa"/>
            <w:vAlign w:val="bottom"/>
            <w:shd w:val="clear" w:color="auto" w:fill="D9E1F2"/>
          </w:tcPr>
          <w:p>
            <w:pPr>
              <w:spacing w:after="0"/>
              <w:rPr>
                <w:sz w:val="13"/>
                <w:szCs w:val="13"/>
                <w:color w:val="auto"/>
              </w:rPr>
            </w:pPr>
          </w:p>
        </w:tc>
        <w:tc>
          <w:tcPr>
            <w:tcW w:w="1500" w:type="dxa"/>
            <w:vAlign w:val="bottom"/>
            <w:shd w:val="clear" w:color="auto" w:fill="D9E1F2"/>
          </w:tcPr>
          <w:p>
            <w:pPr>
              <w:spacing w:after="0"/>
              <w:rPr>
                <w:sz w:val="13"/>
                <w:szCs w:val="13"/>
                <w:color w:val="auto"/>
              </w:rPr>
            </w:pPr>
          </w:p>
        </w:tc>
        <w:tc>
          <w:tcPr>
            <w:tcW w:w="1500" w:type="dxa"/>
            <w:vAlign w:val="bottom"/>
            <w:shd w:val="clear" w:color="auto" w:fill="D9E1F2"/>
          </w:tcPr>
          <w:p>
            <w:pPr>
              <w:spacing w:after="0"/>
              <w:rPr>
                <w:sz w:val="13"/>
                <w:szCs w:val="13"/>
                <w:color w:val="auto"/>
              </w:rPr>
            </w:pPr>
          </w:p>
        </w:tc>
      </w:tr>
      <w:tr>
        <w:trPr>
          <w:trHeight w:val="153"/>
        </w:trPr>
        <w:tc>
          <w:tcPr>
            <w:tcW w:w="4400" w:type="dxa"/>
            <w:vAlign w:val="bottom"/>
          </w:tcPr>
          <w:p>
            <w:pPr>
              <w:ind w:left="660"/>
              <w:spacing w:after="0"/>
              <w:rPr>
                <w:sz w:val="20"/>
                <w:szCs w:val="20"/>
                <w:color w:val="auto"/>
              </w:rPr>
            </w:pPr>
            <w:r>
              <w:rPr>
                <w:rFonts w:ascii="Arial" w:cs="Arial" w:eastAsia="Arial" w:hAnsi="Arial"/>
                <w:sz w:val="12"/>
                <w:szCs w:val="12"/>
                <w:color w:val="auto"/>
              </w:rPr>
              <w:t>* TSR Relative to Peer Group</w:t>
            </w:r>
          </w:p>
        </w:tc>
        <w:tc>
          <w:tcPr>
            <w:tcW w:w="2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4400" w:type="dxa"/>
            <w:vAlign w:val="bottom"/>
            <w:shd w:val="clear" w:color="auto" w:fill="D9E1F2"/>
          </w:tcPr>
          <w:p>
            <w:pPr>
              <w:ind w:left="660"/>
              <w:spacing w:after="0"/>
              <w:rPr>
                <w:sz w:val="20"/>
                <w:szCs w:val="20"/>
                <w:color w:val="auto"/>
              </w:rPr>
            </w:pPr>
            <w:r>
              <w:rPr>
                <w:rFonts w:ascii="Arial" w:cs="Arial" w:eastAsia="Arial" w:hAnsi="Arial"/>
                <w:sz w:val="12"/>
                <w:szCs w:val="12"/>
                <w:color w:val="auto"/>
              </w:rPr>
              <w:t>* Successful Acquisitions</w:t>
            </w:r>
          </w:p>
        </w:tc>
        <w:tc>
          <w:tcPr>
            <w:tcW w:w="2380" w:type="dxa"/>
            <w:vAlign w:val="bottom"/>
            <w:shd w:val="clear" w:color="auto" w:fill="D9E1F2"/>
          </w:tcPr>
          <w:p>
            <w:pPr>
              <w:spacing w:after="0"/>
              <w:rPr>
                <w:sz w:val="13"/>
                <w:szCs w:val="13"/>
                <w:color w:val="auto"/>
              </w:rPr>
            </w:pPr>
          </w:p>
        </w:tc>
        <w:tc>
          <w:tcPr>
            <w:tcW w:w="1520" w:type="dxa"/>
            <w:vAlign w:val="bottom"/>
            <w:shd w:val="clear" w:color="auto" w:fill="D9E1F2"/>
          </w:tcPr>
          <w:p>
            <w:pPr>
              <w:spacing w:after="0"/>
              <w:rPr>
                <w:sz w:val="13"/>
                <w:szCs w:val="13"/>
                <w:color w:val="auto"/>
              </w:rPr>
            </w:pPr>
          </w:p>
        </w:tc>
        <w:tc>
          <w:tcPr>
            <w:tcW w:w="1500" w:type="dxa"/>
            <w:vAlign w:val="bottom"/>
            <w:shd w:val="clear" w:color="auto" w:fill="D9E1F2"/>
          </w:tcPr>
          <w:p>
            <w:pPr>
              <w:spacing w:after="0"/>
              <w:rPr>
                <w:sz w:val="13"/>
                <w:szCs w:val="13"/>
                <w:color w:val="auto"/>
              </w:rPr>
            </w:pPr>
          </w:p>
        </w:tc>
        <w:tc>
          <w:tcPr>
            <w:tcW w:w="1500" w:type="dxa"/>
            <w:vAlign w:val="bottom"/>
            <w:shd w:val="clear" w:color="auto" w:fill="D9E1F2"/>
          </w:tcPr>
          <w:p>
            <w:pPr>
              <w:spacing w:after="0"/>
              <w:rPr>
                <w:sz w:val="13"/>
                <w:szCs w:val="13"/>
                <w:color w:val="auto"/>
              </w:rPr>
            </w:pPr>
          </w:p>
        </w:tc>
      </w:tr>
    </w:tbl>
    <w:p>
      <w:pPr>
        <w:ind w:left="660"/>
        <w:spacing w:after="0"/>
        <w:rPr>
          <w:sz w:val="20"/>
          <w:szCs w:val="20"/>
          <w:color w:val="auto"/>
        </w:rPr>
      </w:pPr>
      <w:r>
        <w:rPr>
          <w:rFonts w:ascii="Arial" w:cs="Arial" w:eastAsia="Arial" w:hAnsi="Arial"/>
          <w:sz w:val="12"/>
          <w:szCs w:val="12"/>
          <w:color w:val="auto"/>
        </w:rPr>
        <w:t>* Risk Management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Safety Record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Leverage/Liquidity Improvement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Execution of Strategic Plan</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The determination of each NEO's 2020 cash bonus payout for each performance measure was based on the following formula: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94"/>
              </w:rPr>
              <w:t>Annual Target</w:t>
            </w:r>
          </w:p>
        </w:tc>
        <w:tc>
          <w:tcPr>
            <w:tcW w:w="4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X</w:t>
            </w: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91"/>
              </w:rPr>
              <w:t>Percent of Target Earned</w:t>
            </w:r>
          </w:p>
        </w:tc>
        <w:tc>
          <w:tcPr>
            <w:tcW w:w="4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X</w:t>
            </w: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90"/>
              </w:rPr>
              <w:t>Performance Measure</w:t>
            </w:r>
          </w:p>
        </w:tc>
        <w:tc>
          <w:tcPr>
            <w:tcW w:w="46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w:t>
            </w: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88"/>
              </w:rPr>
              <w:t>Cash Bonus</w:t>
            </w:r>
          </w:p>
        </w:tc>
        <w:tc>
          <w:tcPr>
            <w:tcW w:w="0" w:type="dxa"/>
            <w:vAlign w:val="bottom"/>
          </w:tcPr>
          <w:p>
            <w:pPr>
              <w:spacing w:after="0"/>
              <w:rPr>
                <w:sz w:val="1"/>
                <w:szCs w:val="1"/>
                <w:color w:val="auto"/>
              </w:rPr>
            </w:pPr>
          </w:p>
        </w:tc>
      </w:tr>
      <w:tr>
        <w:trPr>
          <w:trHeight w:val="157"/>
        </w:trPr>
        <w:tc>
          <w:tcPr>
            <w:tcW w:w="232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88"/>
              </w:rPr>
              <w:t>Bonus Amount</w:t>
            </w:r>
          </w:p>
        </w:tc>
        <w:tc>
          <w:tcPr>
            <w:tcW w:w="46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90"/>
              </w:rPr>
              <w:t>By Performance Measure</w:t>
            </w:r>
          </w:p>
        </w:tc>
        <w:tc>
          <w:tcPr>
            <w:tcW w:w="44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89"/>
              </w:rPr>
              <w:t>Weight</w:t>
            </w:r>
          </w:p>
        </w:tc>
        <w:tc>
          <w:tcPr>
            <w:tcW w:w="460" w:type="dxa"/>
            <w:vAlign w:val="bottom"/>
            <w:vMerge w:val="continue"/>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2"/>
                <w:szCs w:val="12"/>
                <w:b w:val="1"/>
                <w:bCs w:val="1"/>
                <w:color w:val="auto"/>
                <w:w w:val="93"/>
              </w:rPr>
              <w:t>Earned</w:t>
            </w:r>
          </w:p>
        </w:tc>
        <w:tc>
          <w:tcPr>
            <w:tcW w:w="0" w:type="dxa"/>
            <w:vAlign w:val="bottom"/>
          </w:tcPr>
          <w:p>
            <w:pPr>
              <w:spacing w:after="0"/>
              <w:rPr>
                <w:sz w:val="1"/>
                <w:szCs w:val="1"/>
                <w:color w:val="auto"/>
              </w:rPr>
            </w:pPr>
          </w:p>
        </w:tc>
      </w:tr>
      <w:tr>
        <w:trPr>
          <w:trHeight w:val="158"/>
        </w:trPr>
        <w:tc>
          <w:tcPr>
            <w:tcW w:w="2320" w:type="dxa"/>
            <w:vAlign w:val="bottom"/>
            <w:shd w:val="clear" w:color="auto" w:fill="D9E1F2"/>
          </w:tcPr>
          <w:p>
            <w:pPr>
              <w:jc w:val="center"/>
              <w:spacing w:after="0"/>
              <w:rPr>
                <w:sz w:val="20"/>
                <w:szCs w:val="20"/>
                <w:color w:val="auto"/>
              </w:rPr>
            </w:pPr>
            <w:r>
              <w:rPr>
                <w:rFonts w:ascii="Arial" w:cs="Arial" w:eastAsia="Arial" w:hAnsi="Arial"/>
                <w:sz w:val="11"/>
                <w:szCs w:val="11"/>
                <w:i w:val="1"/>
                <w:iCs w:val="1"/>
                <w:color w:val="auto"/>
                <w:w w:val="89"/>
              </w:rPr>
              <w:t>(% of Base Salary)</w:t>
            </w:r>
          </w:p>
        </w:tc>
        <w:tc>
          <w:tcPr>
            <w:tcW w:w="460" w:type="dxa"/>
            <w:vAlign w:val="bottom"/>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1"/>
                <w:szCs w:val="11"/>
                <w:i w:val="1"/>
                <w:iCs w:val="1"/>
                <w:color w:val="auto"/>
                <w:w w:val="89"/>
              </w:rPr>
              <w:t>(0 - 200%)</w:t>
            </w:r>
          </w:p>
        </w:tc>
        <w:tc>
          <w:tcPr>
            <w:tcW w:w="440" w:type="dxa"/>
            <w:vAlign w:val="bottom"/>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1"/>
                <w:szCs w:val="11"/>
                <w:i w:val="1"/>
                <w:iCs w:val="1"/>
                <w:color w:val="auto"/>
                <w:w w:val="92"/>
              </w:rPr>
              <w:t>(15% or 25%)</w:t>
            </w:r>
          </w:p>
        </w:tc>
        <w:tc>
          <w:tcPr>
            <w:tcW w:w="460" w:type="dxa"/>
            <w:vAlign w:val="bottom"/>
          </w:tcPr>
          <w:p>
            <w:pPr>
              <w:spacing w:after="0"/>
              <w:rPr>
                <w:sz w:val="13"/>
                <w:szCs w:val="13"/>
                <w:color w:val="auto"/>
              </w:rPr>
            </w:pPr>
          </w:p>
        </w:tc>
        <w:tc>
          <w:tcPr>
            <w:tcW w:w="2540" w:type="dxa"/>
            <w:vAlign w:val="bottom"/>
            <w:shd w:val="clear" w:color="auto" w:fill="D9E1F2"/>
          </w:tcPr>
          <w:p>
            <w:pPr>
              <w:jc w:val="center"/>
              <w:spacing w:after="0"/>
              <w:rPr>
                <w:sz w:val="20"/>
                <w:szCs w:val="20"/>
                <w:color w:val="auto"/>
              </w:rPr>
            </w:pPr>
            <w:r>
              <w:rPr>
                <w:rFonts w:ascii="Arial" w:cs="Arial" w:eastAsia="Arial" w:hAnsi="Arial"/>
                <w:sz w:val="11"/>
                <w:szCs w:val="11"/>
                <w:i w:val="1"/>
                <w:iCs w:val="1"/>
                <w:color w:val="auto"/>
                <w:w w:val="89"/>
              </w:rPr>
              <w:t>(Capped at 200% of Target)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For performance between the threshold, target and maximum goal levels, the percentage of target bonus earned was determined using straight-line interpolation. If performance for a performance measure was below the threshold goal level, no cash bonus was earned for that performance measure.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Company's achievement of the defined performance goals in 2020 was as follows: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080" w:type="dxa"/>
            <w:vAlign w:val="bottom"/>
            <w:tcBorders>
              <w:top w:val="single" w:sz="8" w:color="auto"/>
              <w:left w:val="single" w:sz="8" w:color="auto"/>
              <w:bottom w:val="single" w:sz="8" w:color="auto"/>
            </w:tcBorders>
            <w:shd w:val="clear" w:color="auto" w:fill="D9E1F2"/>
          </w:tcPr>
          <w:p>
            <w:pPr>
              <w:spacing w:after="0"/>
              <w:rPr>
                <w:sz w:val="13"/>
                <w:szCs w:val="13"/>
                <w:color w:val="auto"/>
              </w:rPr>
            </w:pPr>
          </w:p>
        </w:tc>
        <w:tc>
          <w:tcPr>
            <w:tcW w:w="4100" w:type="dxa"/>
            <w:vAlign w:val="bottom"/>
            <w:tcBorders>
              <w:top w:val="single" w:sz="8" w:color="auto"/>
              <w:bottom w:val="single" w:sz="8" w:color="auto"/>
            </w:tcBorders>
            <w:shd w:val="clear" w:color="auto" w:fill="D9E1F2"/>
          </w:tcPr>
          <w:p>
            <w:pPr>
              <w:jc w:val="center"/>
              <w:ind w:left="1681"/>
              <w:spacing w:after="0"/>
              <w:rPr>
                <w:sz w:val="20"/>
                <w:szCs w:val="20"/>
                <w:color w:val="auto"/>
              </w:rPr>
            </w:pPr>
            <w:r>
              <w:rPr>
                <w:rFonts w:ascii="Arial" w:cs="Arial" w:eastAsia="Arial" w:hAnsi="Arial"/>
                <w:sz w:val="11"/>
                <w:szCs w:val="11"/>
                <w:b w:val="1"/>
                <w:bCs w:val="1"/>
                <w:color w:val="auto"/>
                <w:w w:val="87"/>
              </w:rPr>
              <w:t>Achievement</w:t>
            </w:r>
          </w:p>
        </w:tc>
        <w:tc>
          <w:tcPr>
            <w:tcW w:w="2140" w:type="dxa"/>
            <w:vAlign w:val="bottom"/>
            <w:tcBorders>
              <w:top w:val="single" w:sz="8" w:color="auto"/>
              <w:bottom w:val="single" w:sz="8" w:color="auto"/>
              <w:right w:val="single" w:sz="8" w:color="auto"/>
            </w:tcBorders>
            <w:shd w:val="clear" w:color="auto" w:fill="D9E1F2"/>
          </w:tcPr>
          <w:p>
            <w:pPr>
              <w:ind w:left="560"/>
              <w:spacing w:after="0"/>
              <w:rPr>
                <w:sz w:val="20"/>
                <w:szCs w:val="20"/>
                <w:color w:val="auto"/>
              </w:rPr>
            </w:pPr>
            <w:r>
              <w:rPr>
                <w:rFonts w:ascii="Arial" w:cs="Arial" w:eastAsia="Arial" w:hAnsi="Arial"/>
                <w:sz w:val="11"/>
                <w:szCs w:val="11"/>
                <w:b w:val="1"/>
                <w:bCs w:val="1"/>
                <w:color w:val="auto"/>
              </w:rPr>
              <w:t>% of Target Earned</w:t>
            </w:r>
          </w:p>
        </w:tc>
      </w:tr>
      <w:tr>
        <w:trPr>
          <w:trHeight w:val="144"/>
        </w:trPr>
        <w:tc>
          <w:tcPr>
            <w:tcW w:w="50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Return on Average Equity</w:t>
            </w:r>
          </w:p>
        </w:tc>
        <w:tc>
          <w:tcPr>
            <w:tcW w:w="4100" w:type="dxa"/>
            <w:vAlign w:val="bottom"/>
          </w:tcPr>
          <w:p>
            <w:pPr>
              <w:jc w:val="center"/>
              <w:ind w:left="1681"/>
              <w:spacing w:after="0"/>
              <w:rPr>
                <w:sz w:val="20"/>
                <w:szCs w:val="20"/>
                <w:color w:val="auto"/>
              </w:rPr>
            </w:pPr>
            <w:r>
              <w:rPr>
                <w:rFonts w:ascii="Arial" w:cs="Arial" w:eastAsia="Arial" w:hAnsi="Arial"/>
                <w:sz w:val="12"/>
                <w:szCs w:val="12"/>
                <w:color w:val="auto"/>
                <w:w w:val="87"/>
              </w:rPr>
              <w:t>4.1%</w:t>
            </w:r>
          </w:p>
        </w:tc>
        <w:tc>
          <w:tcPr>
            <w:tcW w:w="2140" w:type="dxa"/>
            <w:vAlign w:val="bottom"/>
            <w:tcBorders>
              <w:right w:val="single" w:sz="8" w:color="auto"/>
            </w:tcBorders>
          </w:tcPr>
          <w:p>
            <w:pPr>
              <w:jc w:val="center"/>
              <w:ind w:right="61"/>
              <w:spacing w:after="0"/>
              <w:rPr>
                <w:sz w:val="20"/>
                <w:szCs w:val="20"/>
                <w:color w:val="auto"/>
              </w:rPr>
            </w:pPr>
            <w:r>
              <w:rPr>
                <w:rFonts w:ascii="Arial" w:cs="Arial" w:eastAsia="Arial" w:hAnsi="Arial"/>
                <w:sz w:val="12"/>
                <w:szCs w:val="12"/>
                <w:color w:val="auto"/>
                <w:w w:val="91"/>
              </w:rPr>
              <w:t>52%</w:t>
            </w:r>
          </w:p>
        </w:tc>
      </w:tr>
      <w:tr>
        <w:trPr>
          <w:trHeight w:val="153"/>
        </w:trPr>
        <w:tc>
          <w:tcPr>
            <w:tcW w:w="50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Free Cash Flow Generation</w:t>
            </w:r>
          </w:p>
        </w:tc>
        <w:tc>
          <w:tcPr>
            <w:tcW w:w="4100" w:type="dxa"/>
            <w:vAlign w:val="bottom"/>
            <w:shd w:val="clear" w:color="auto" w:fill="D9E1F2"/>
          </w:tcPr>
          <w:p>
            <w:pPr>
              <w:jc w:val="center"/>
              <w:ind w:left="1701"/>
              <w:spacing w:after="0"/>
              <w:rPr>
                <w:sz w:val="20"/>
                <w:szCs w:val="20"/>
                <w:color w:val="auto"/>
              </w:rPr>
            </w:pPr>
            <w:r>
              <w:rPr>
                <w:rFonts w:ascii="Arial" w:cs="Arial" w:eastAsia="Arial" w:hAnsi="Arial"/>
                <w:sz w:val="12"/>
                <w:szCs w:val="12"/>
                <w:color w:val="auto"/>
                <w:w w:val="98"/>
              </w:rPr>
              <w:t>$4 million</w:t>
            </w:r>
          </w:p>
        </w:tc>
        <w:tc>
          <w:tcPr>
            <w:tcW w:w="2140" w:type="dxa"/>
            <w:vAlign w:val="bottom"/>
            <w:tcBorders>
              <w:right w:val="single" w:sz="8" w:color="auto"/>
            </w:tcBorders>
            <w:shd w:val="clear" w:color="auto" w:fill="D9E1F2"/>
          </w:tcPr>
          <w:p>
            <w:pPr>
              <w:jc w:val="center"/>
              <w:ind w:right="41"/>
              <w:spacing w:after="0"/>
              <w:rPr>
                <w:sz w:val="20"/>
                <w:szCs w:val="20"/>
                <w:color w:val="auto"/>
              </w:rPr>
            </w:pPr>
            <w:r>
              <w:rPr>
                <w:rFonts w:ascii="Arial" w:cs="Arial" w:eastAsia="Arial" w:hAnsi="Arial"/>
                <w:sz w:val="12"/>
                <w:szCs w:val="12"/>
                <w:color w:val="auto"/>
                <w:w w:val="91"/>
              </w:rPr>
              <w:t>0%</w:t>
            </w:r>
          </w:p>
        </w:tc>
      </w:tr>
      <w:tr>
        <w:trPr>
          <w:trHeight w:val="153"/>
        </w:trPr>
        <w:tc>
          <w:tcPr>
            <w:tcW w:w="50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Well Cost Efficiency (per completed lateral foot)</w:t>
            </w:r>
          </w:p>
        </w:tc>
        <w:tc>
          <w:tcPr>
            <w:tcW w:w="4100" w:type="dxa"/>
            <w:vAlign w:val="bottom"/>
          </w:tcPr>
          <w:p>
            <w:pPr>
              <w:jc w:val="center"/>
              <w:ind w:left="1681"/>
              <w:spacing w:after="0"/>
              <w:rPr>
                <w:sz w:val="20"/>
                <w:szCs w:val="20"/>
                <w:color w:val="auto"/>
              </w:rPr>
            </w:pPr>
            <w:r>
              <w:rPr>
                <w:rFonts w:ascii="Arial" w:cs="Arial" w:eastAsia="Arial" w:hAnsi="Arial"/>
                <w:sz w:val="12"/>
                <w:szCs w:val="12"/>
                <w:color w:val="auto"/>
                <w:w w:val="87"/>
              </w:rPr>
              <w:t>$1,026</w:t>
            </w:r>
          </w:p>
        </w:tc>
        <w:tc>
          <w:tcPr>
            <w:tcW w:w="2140" w:type="dxa"/>
            <w:vAlign w:val="bottom"/>
            <w:tcBorders>
              <w:right w:val="single" w:sz="8" w:color="auto"/>
            </w:tcBorders>
          </w:tcPr>
          <w:p>
            <w:pPr>
              <w:jc w:val="center"/>
              <w:ind w:right="41"/>
              <w:spacing w:after="0"/>
              <w:rPr>
                <w:sz w:val="20"/>
                <w:szCs w:val="20"/>
                <w:color w:val="auto"/>
              </w:rPr>
            </w:pPr>
            <w:r>
              <w:rPr>
                <w:rFonts w:ascii="Arial" w:cs="Arial" w:eastAsia="Arial" w:hAnsi="Arial"/>
                <w:sz w:val="12"/>
                <w:szCs w:val="12"/>
                <w:color w:val="auto"/>
                <w:w w:val="91"/>
              </w:rPr>
              <w:t>174%</w:t>
            </w:r>
          </w:p>
        </w:tc>
      </w:tr>
      <w:tr>
        <w:trPr>
          <w:trHeight w:val="153"/>
        </w:trPr>
        <w:tc>
          <w:tcPr>
            <w:tcW w:w="50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Operating Efficiency (reduction in lifting costs per Mcfe)</w:t>
            </w:r>
          </w:p>
        </w:tc>
        <w:tc>
          <w:tcPr>
            <w:tcW w:w="4100" w:type="dxa"/>
            <w:vAlign w:val="bottom"/>
            <w:shd w:val="clear" w:color="auto" w:fill="D9E1F2"/>
          </w:tcPr>
          <w:p>
            <w:pPr>
              <w:jc w:val="center"/>
              <w:ind w:left="1681"/>
              <w:spacing w:after="0"/>
              <w:rPr>
                <w:sz w:val="20"/>
                <w:szCs w:val="20"/>
                <w:color w:val="auto"/>
              </w:rPr>
            </w:pPr>
            <w:r>
              <w:rPr>
                <w:rFonts w:ascii="Arial" w:cs="Arial" w:eastAsia="Arial" w:hAnsi="Arial"/>
                <w:sz w:val="12"/>
                <w:szCs w:val="12"/>
                <w:color w:val="auto"/>
                <w:w w:val="87"/>
              </w:rPr>
              <w:t>1.7%</w:t>
            </w:r>
          </w:p>
        </w:tc>
        <w:tc>
          <w:tcPr>
            <w:tcW w:w="2140" w:type="dxa"/>
            <w:vAlign w:val="bottom"/>
            <w:tcBorders>
              <w:right w:val="single" w:sz="8" w:color="auto"/>
            </w:tcBorders>
            <w:shd w:val="clear" w:color="auto" w:fill="D9E1F2"/>
          </w:tcPr>
          <w:p>
            <w:pPr>
              <w:jc w:val="center"/>
              <w:ind w:right="41"/>
              <w:spacing w:after="0"/>
              <w:rPr>
                <w:sz w:val="20"/>
                <w:szCs w:val="20"/>
                <w:color w:val="auto"/>
              </w:rPr>
            </w:pPr>
            <w:r>
              <w:rPr>
                <w:rFonts w:ascii="Arial" w:cs="Arial" w:eastAsia="Arial" w:hAnsi="Arial"/>
                <w:sz w:val="12"/>
                <w:szCs w:val="12"/>
                <w:color w:val="auto"/>
                <w:w w:val="91"/>
              </w:rPr>
              <w:t>0%</w:t>
            </w:r>
          </w:p>
        </w:tc>
      </w:tr>
      <w:tr>
        <w:trPr>
          <w:trHeight w:val="153"/>
        </w:trPr>
        <w:tc>
          <w:tcPr>
            <w:tcW w:w="50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Reserve Replacement (reserves added / production)</w:t>
            </w:r>
          </w:p>
        </w:tc>
        <w:tc>
          <w:tcPr>
            <w:tcW w:w="4100" w:type="dxa"/>
            <w:vAlign w:val="bottom"/>
          </w:tcPr>
          <w:p>
            <w:pPr>
              <w:jc w:val="center"/>
              <w:ind w:left="1681"/>
              <w:spacing w:after="0"/>
              <w:rPr>
                <w:sz w:val="20"/>
                <w:szCs w:val="20"/>
                <w:color w:val="auto"/>
              </w:rPr>
            </w:pPr>
            <w:r>
              <w:rPr>
                <w:rFonts w:ascii="Arial" w:cs="Arial" w:eastAsia="Arial" w:hAnsi="Arial"/>
                <w:sz w:val="12"/>
                <w:szCs w:val="12"/>
                <w:color w:val="auto"/>
                <w:w w:val="91"/>
              </w:rPr>
              <w:t>159%</w:t>
            </w:r>
          </w:p>
        </w:tc>
        <w:tc>
          <w:tcPr>
            <w:tcW w:w="2140" w:type="dxa"/>
            <w:vAlign w:val="bottom"/>
            <w:tcBorders>
              <w:right w:val="single" w:sz="8" w:color="auto"/>
            </w:tcBorders>
          </w:tcPr>
          <w:p>
            <w:pPr>
              <w:jc w:val="center"/>
              <w:ind w:right="41"/>
              <w:spacing w:after="0"/>
              <w:rPr>
                <w:sz w:val="20"/>
                <w:szCs w:val="20"/>
                <w:color w:val="auto"/>
              </w:rPr>
            </w:pPr>
            <w:r>
              <w:rPr>
                <w:rFonts w:ascii="Arial" w:cs="Arial" w:eastAsia="Arial" w:hAnsi="Arial"/>
                <w:sz w:val="12"/>
                <w:szCs w:val="12"/>
                <w:color w:val="auto"/>
                <w:w w:val="91"/>
              </w:rPr>
              <w:t>170%</w:t>
            </w:r>
          </w:p>
        </w:tc>
      </w:tr>
      <w:tr>
        <w:trPr>
          <w:trHeight w:val="117"/>
        </w:trPr>
        <w:tc>
          <w:tcPr>
            <w:tcW w:w="5080" w:type="dxa"/>
            <w:vAlign w:val="bottom"/>
            <w:tcBorders>
              <w:left w:val="single" w:sz="8" w:color="auto"/>
            </w:tcBorders>
            <w:shd w:val="clear" w:color="auto" w:fill="D9E1F2"/>
          </w:tcPr>
          <w:p>
            <w:pPr>
              <w:ind w:left="20"/>
              <w:spacing w:after="0" w:line="117" w:lineRule="exact"/>
              <w:rPr>
                <w:sz w:val="20"/>
                <w:szCs w:val="20"/>
                <w:color w:val="auto"/>
              </w:rPr>
            </w:pPr>
            <w:r>
              <w:rPr>
                <w:rFonts w:ascii="Arial" w:cs="Arial" w:eastAsia="Arial" w:hAnsi="Arial"/>
                <w:sz w:val="12"/>
                <w:szCs w:val="12"/>
                <w:color w:val="auto"/>
              </w:rPr>
              <w:t>Other Key Objectives</w:t>
            </w:r>
          </w:p>
        </w:tc>
        <w:tc>
          <w:tcPr>
            <w:tcW w:w="4100" w:type="dxa"/>
            <w:vAlign w:val="bottom"/>
            <w:shd w:val="clear" w:color="auto" w:fill="D9E1F2"/>
          </w:tcPr>
          <w:p>
            <w:pPr>
              <w:jc w:val="center"/>
              <w:ind w:left="1701"/>
              <w:spacing w:after="0" w:line="117" w:lineRule="exact"/>
              <w:rPr>
                <w:sz w:val="20"/>
                <w:szCs w:val="20"/>
                <w:color w:val="auto"/>
              </w:rPr>
            </w:pPr>
            <w:r>
              <w:rPr>
                <w:rFonts w:ascii="Arial" w:cs="Arial" w:eastAsia="Arial" w:hAnsi="Arial"/>
                <w:sz w:val="12"/>
                <w:szCs w:val="12"/>
                <w:color w:val="auto"/>
                <w:w w:val="91"/>
              </w:rPr>
              <w:t>4 of the 6</w:t>
            </w:r>
          </w:p>
        </w:tc>
        <w:tc>
          <w:tcPr>
            <w:tcW w:w="2140" w:type="dxa"/>
            <w:vAlign w:val="bottom"/>
            <w:tcBorders>
              <w:right w:val="single" w:sz="8" w:color="auto"/>
            </w:tcBorders>
            <w:shd w:val="clear" w:color="auto" w:fill="D9E1F2"/>
          </w:tcPr>
          <w:p>
            <w:pPr>
              <w:jc w:val="center"/>
              <w:ind w:right="41"/>
              <w:spacing w:after="0" w:line="117" w:lineRule="exact"/>
              <w:rPr>
                <w:sz w:val="20"/>
                <w:szCs w:val="20"/>
                <w:color w:val="auto"/>
              </w:rPr>
            </w:pPr>
            <w:r>
              <w:rPr>
                <w:rFonts w:ascii="Arial" w:cs="Arial" w:eastAsia="Arial" w:hAnsi="Arial"/>
                <w:sz w:val="12"/>
                <w:szCs w:val="12"/>
                <w:color w:val="auto"/>
                <w:w w:val="91"/>
              </w:rPr>
              <w:t>121%</w:t>
            </w:r>
          </w:p>
        </w:tc>
      </w:tr>
      <w:tr>
        <w:trPr>
          <w:trHeight w:val="153"/>
        </w:trPr>
        <w:tc>
          <w:tcPr>
            <w:tcW w:w="5080" w:type="dxa"/>
            <w:vAlign w:val="bottom"/>
            <w:tcBorders>
              <w:left w:val="single" w:sz="8" w:color="auto"/>
            </w:tcBorders>
            <w:shd w:val="clear" w:color="auto" w:fill="D9E1F2"/>
          </w:tcPr>
          <w:p>
            <w:pPr>
              <w:spacing w:after="0"/>
              <w:rPr>
                <w:sz w:val="13"/>
                <w:szCs w:val="13"/>
                <w:color w:val="auto"/>
              </w:rPr>
            </w:pPr>
          </w:p>
        </w:tc>
        <w:tc>
          <w:tcPr>
            <w:tcW w:w="4100" w:type="dxa"/>
            <w:vAlign w:val="bottom"/>
            <w:shd w:val="clear" w:color="auto" w:fill="D9E1F2"/>
          </w:tcPr>
          <w:p>
            <w:pPr>
              <w:jc w:val="center"/>
              <w:ind w:left="1681"/>
              <w:spacing w:after="0"/>
              <w:rPr>
                <w:sz w:val="20"/>
                <w:szCs w:val="20"/>
                <w:color w:val="auto"/>
              </w:rPr>
            </w:pPr>
            <w:r>
              <w:rPr>
                <w:rFonts w:ascii="Arial" w:cs="Arial" w:eastAsia="Arial" w:hAnsi="Arial"/>
                <w:sz w:val="12"/>
                <w:szCs w:val="12"/>
                <w:color w:val="auto"/>
                <w:w w:val="89"/>
              </w:rPr>
              <w:t>objectives were achieved</w:t>
            </w:r>
          </w:p>
        </w:tc>
        <w:tc>
          <w:tcPr>
            <w:tcW w:w="2140" w:type="dxa"/>
            <w:vAlign w:val="bottom"/>
            <w:tcBorders>
              <w:right w:val="single" w:sz="8" w:color="auto"/>
            </w:tcBorders>
            <w:shd w:val="clear" w:color="auto" w:fill="D9E1F2"/>
          </w:tcPr>
          <w:p>
            <w:pPr>
              <w:spacing w:after="0"/>
              <w:rPr>
                <w:sz w:val="13"/>
                <w:szCs w:val="13"/>
                <w:color w:val="auto"/>
              </w:rPr>
            </w:pPr>
          </w:p>
        </w:tc>
      </w:tr>
      <w:tr>
        <w:trPr>
          <w:trHeight w:val="144"/>
        </w:trPr>
        <w:tc>
          <w:tcPr>
            <w:tcW w:w="5080" w:type="dxa"/>
            <w:vAlign w:val="bottom"/>
            <w:tcBorders>
              <w:left w:val="single" w:sz="8" w:color="auto"/>
              <w:bottom w:val="single" w:sz="8" w:color="auto"/>
            </w:tcBorders>
            <w:shd w:val="clear" w:color="auto" w:fill="D9E1F2"/>
          </w:tcPr>
          <w:p>
            <w:pPr>
              <w:spacing w:after="0"/>
              <w:rPr>
                <w:sz w:val="12"/>
                <w:szCs w:val="12"/>
                <w:color w:val="auto"/>
              </w:rPr>
            </w:pPr>
          </w:p>
        </w:tc>
        <w:tc>
          <w:tcPr>
            <w:tcW w:w="4100" w:type="dxa"/>
            <w:vAlign w:val="bottom"/>
            <w:tcBorders>
              <w:bottom w:val="single" w:sz="8" w:color="auto"/>
            </w:tcBorders>
            <w:shd w:val="clear" w:color="auto" w:fill="D9E1F2"/>
          </w:tcPr>
          <w:p>
            <w:pPr>
              <w:spacing w:after="0"/>
              <w:rPr>
                <w:sz w:val="12"/>
                <w:szCs w:val="12"/>
                <w:color w:val="auto"/>
              </w:rPr>
            </w:pPr>
          </w:p>
        </w:tc>
        <w:tc>
          <w:tcPr>
            <w:tcW w:w="2140" w:type="dxa"/>
            <w:vAlign w:val="bottom"/>
            <w:tcBorders>
              <w:bottom w:val="single" w:sz="8" w:color="auto"/>
              <w:right w:val="single" w:sz="8" w:color="auto"/>
            </w:tcBorders>
            <w:shd w:val="clear" w:color="auto" w:fill="D9E1F2"/>
          </w:tcPr>
          <w:p>
            <w:pPr>
              <w:spacing w:after="0"/>
              <w:rPr>
                <w:sz w:val="12"/>
                <w:szCs w:val="12"/>
                <w:color w:val="auto"/>
              </w:rPr>
            </w:pPr>
          </w:p>
        </w:tc>
      </w:tr>
    </w:tbl>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compensation committee evaluated the achievement of other key objectives for plan year 2020 noting that two of the key objectives, TSR performance and successful acquisitions, were not achieved. The remaining key objectives of risk management, safety record, leverage/liquidity improvement and execution of strategic plan were achieved at above target levels. The committee considered the successful management of the Company during a year of very low oil and gas prices and the substantial improvement in financial liquidity the Company achieved in 2021 in evaluating performance under these goals. Based on the achievement of metrics and goals in 2020, our executives earned payouts of 90% of their target bonus opportunity.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Determination of Long-term Incentive Awards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Each year, we grant LTI awards to our NEOs to align the interests of our NEOs with the interests of our stockholders, provide competitive total compensation opportunities and support the attraction and retention of key talent. Long-term incentive awards are governed under the terms of the Company's 2019 Long-term Incentive Plan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"2019 Plan"). No LTI awards were made to the CEO and President of the Company in 2020 given the uncertainty of the environment the Company was in due to overall economic conditions in the oil and gas industry following the COVID-19 pandemic. The compensation committee approved the other NEO's 2020 target LTI award value taking into account market competitive data, individual performance and the roles and responsibilities of each NEO.</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Each NEO's target LTI award value was equally allocated between restricted stock and PSUs as shown in the table below:</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5780" w:type="dxa"/>
            <w:vAlign w:val="bottom"/>
            <w:tcBorders>
              <w:top w:val="single" w:sz="8" w:color="auto"/>
              <w:left w:val="single" w:sz="8" w:color="auto"/>
            </w:tcBorders>
            <w:vMerge w:val="restart"/>
            <w:shd w:val="clear" w:color="auto" w:fill="D9E1F2"/>
          </w:tcPr>
          <w:p>
            <w:pPr>
              <w:ind w:left="3440"/>
              <w:spacing w:after="0"/>
              <w:rPr>
                <w:sz w:val="20"/>
                <w:szCs w:val="20"/>
                <w:color w:val="auto"/>
              </w:rPr>
            </w:pPr>
            <w:r>
              <w:rPr>
                <w:rFonts w:ascii="Arial" w:cs="Arial" w:eastAsia="Arial" w:hAnsi="Arial"/>
                <w:sz w:val="11"/>
                <w:szCs w:val="11"/>
                <w:b w:val="1"/>
                <w:bCs w:val="1"/>
                <w:color w:val="auto"/>
              </w:rPr>
              <w:t>Executive</w:t>
            </w:r>
          </w:p>
        </w:tc>
        <w:tc>
          <w:tcPr>
            <w:tcW w:w="2840" w:type="dxa"/>
            <w:vAlign w:val="bottom"/>
            <w:tcBorders>
              <w:top w:val="single" w:sz="8" w:color="auto"/>
            </w:tcBorders>
            <w:vMerge w:val="restart"/>
            <w:shd w:val="clear" w:color="auto" w:fill="D9E1F2"/>
          </w:tcPr>
          <w:p>
            <w:pPr>
              <w:jc w:val="center"/>
              <w:ind w:left="1482"/>
              <w:spacing w:after="0"/>
              <w:rPr>
                <w:sz w:val="20"/>
                <w:szCs w:val="20"/>
                <w:color w:val="auto"/>
              </w:rPr>
            </w:pPr>
            <w:r>
              <w:rPr>
                <w:rFonts w:ascii="Arial" w:cs="Arial" w:eastAsia="Arial" w:hAnsi="Arial"/>
                <w:sz w:val="11"/>
                <w:szCs w:val="11"/>
                <w:b w:val="1"/>
                <w:bCs w:val="1"/>
                <w:color w:val="auto"/>
                <w:w w:val="95"/>
              </w:rPr>
              <w:t>Grant Date</w:t>
            </w:r>
          </w:p>
        </w:tc>
        <w:tc>
          <w:tcPr>
            <w:tcW w:w="1360" w:type="dxa"/>
            <w:vAlign w:val="bottom"/>
            <w:tcBorders>
              <w:top w:val="single" w:sz="8" w:color="auto"/>
            </w:tcBorders>
            <w:shd w:val="clear" w:color="auto" w:fill="D9E1F2"/>
          </w:tcPr>
          <w:p>
            <w:pPr>
              <w:jc w:val="center"/>
              <w:spacing w:after="0" w:line="117" w:lineRule="exact"/>
              <w:rPr>
                <w:sz w:val="20"/>
                <w:szCs w:val="20"/>
                <w:color w:val="auto"/>
              </w:rPr>
            </w:pPr>
            <w:r>
              <w:rPr>
                <w:rFonts w:ascii="Arial" w:cs="Arial" w:eastAsia="Arial" w:hAnsi="Arial"/>
                <w:sz w:val="11"/>
                <w:szCs w:val="11"/>
                <w:b w:val="1"/>
                <w:bCs w:val="1"/>
                <w:color w:val="auto"/>
                <w:w w:val="89"/>
              </w:rPr>
              <w:t>Restricted</w:t>
            </w:r>
          </w:p>
        </w:tc>
        <w:tc>
          <w:tcPr>
            <w:tcW w:w="1340" w:type="dxa"/>
            <w:vAlign w:val="bottom"/>
            <w:tcBorders>
              <w:top w:val="single" w:sz="8" w:color="auto"/>
              <w:right w:val="single" w:sz="8" w:color="auto"/>
            </w:tcBorders>
            <w:vMerge w:val="restart"/>
            <w:shd w:val="clear" w:color="auto" w:fill="D9E1F2"/>
          </w:tcPr>
          <w:p>
            <w:pPr>
              <w:jc w:val="center"/>
              <w:spacing w:after="0"/>
              <w:rPr>
                <w:sz w:val="20"/>
                <w:szCs w:val="20"/>
                <w:color w:val="auto"/>
              </w:rPr>
            </w:pPr>
            <w:r>
              <w:rPr>
                <w:rFonts w:ascii="Arial" w:cs="Arial" w:eastAsia="Arial" w:hAnsi="Arial"/>
                <w:sz w:val="11"/>
                <w:szCs w:val="11"/>
                <w:b w:val="1"/>
                <w:bCs w:val="1"/>
                <w:color w:val="auto"/>
                <w:w w:val="88"/>
              </w:rPr>
              <w:t>PSU Awards</w:t>
            </w:r>
          </w:p>
        </w:tc>
        <w:tc>
          <w:tcPr>
            <w:tcW w:w="0" w:type="dxa"/>
            <w:vAlign w:val="bottom"/>
          </w:tcPr>
          <w:p>
            <w:pPr>
              <w:spacing w:after="0"/>
              <w:rPr>
                <w:sz w:val="1"/>
                <w:szCs w:val="1"/>
                <w:color w:val="auto"/>
              </w:rPr>
            </w:pPr>
          </w:p>
        </w:tc>
      </w:tr>
      <w:tr>
        <w:trPr>
          <w:trHeight w:val="142"/>
        </w:trPr>
        <w:tc>
          <w:tcPr>
            <w:tcW w:w="578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2840" w:type="dxa"/>
            <w:vAlign w:val="bottom"/>
            <w:tcBorders>
              <w:bottom w:val="single" w:sz="8" w:color="auto"/>
            </w:tcBorders>
            <w:vMerge w:val="continue"/>
            <w:shd w:val="clear" w:color="auto" w:fill="D9E1F2"/>
          </w:tcPr>
          <w:p>
            <w:pPr>
              <w:spacing w:after="0"/>
              <w:rPr>
                <w:sz w:val="12"/>
                <w:szCs w:val="12"/>
                <w:color w:val="auto"/>
              </w:rPr>
            </w:pPr>
          </w:p>
        </w:tc>
        <w:tc>
          <w:tcPr>
            <w:tcW w:w="136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87"/>
              </w:rPr>
              <w:t>Stock Awards</w:t>
            </w:r>
          </w:p>
        </w:tc>
        <w:tc>
          <w:tcPr>
            <w:tcW w:w="134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left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6"/>
              </w:rPr>
              <w:t>(Shares)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(Units)</w:t>
            </w:r>
          </w:p>
        </w:tc>
        <w:tc>
          <w:tcPr>
            <w:tcW w:w="0" w:type="dxa"/>
            <w:vAlign w:val="bottom"/>
          </w:tcPr>
          <w:p>
            <w:pPr>
              <w:spacing w:after="0"/>
              <w:rPr>
                <w:sz w:val="1"/>
                <w:szCs w:val="1"/>
                <w:color w:val="auto"/>
              </w:rPr>
            </w:pPr>
          </w:p>
        </w:tc>
      </w:tr>
      <w:tr>
        <w:trPr>
          <w:trHeight w:val="182"/>
        </w:trPr>
        <w:tc>
          <w:tcPr>
            <w:tcW w:w="57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M. Jay Allison, </w:t>
            </w:r>
            <w:r>
              <w:rPr>
                <w:rFonts w:ascii="Arial" w:cs="Arial" w:eastAsia="Arial" w:hAnsi="Arial"/>
                <w:sz w:val="10"/>
                <w:szCs w:val="10"/>
                <w:i w:val="1"/>
                <w:iCs w:val="1"/>
                <w:color w:val="auto"/>
              </w:rPr>
              <w:t>Chief Executive Officer</w:t>
            </w:r>
          </w:p>
        </w:tc>
        <w:tc>
          <w:tcPr>
            <w:tcW w:w="2840" w:type="dxa"/>
            <w:vAlign w:val="bottom"/>
            <w:shd w:val="clear" w:color="auto" w:fill="D9E1F2"/>
          </w:tcPr>
          <w:p>
            <w:pPr>
              <w:spacing w:after="0"/>
              <w:rPr>
                <w:sz w:val="15"/>
                <w:szCs w:val="15"/>
                <w:color w:val="auto"/>
              </w:rPr>
            </w:pPr>
          </w:p>
        </w:tc>
        <w:tc>
          <w:tcPr>
            <w:tcW w:w="136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99"/>
              </w:rPr>
              <w:t>—</w:t>
            </w:r>
          </w:p>
        </w:tc>
        <w:tc>
          <w:tcPr>
            <w:tcW w:w="1340" w:type="dxa"/>
            <w:vAlign w:val="bottom"/>
            <w:tcBorders>
              <w:right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1"/>
        </w:trPr>
        <w:tc>
          <w:tcPr>
            <w:tcW w:w="57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 xml:space="preserve">Roland O. Burns, </w:t>
            </w:r>
            <w:r>
              <w:rPr>
                <w:rFonts w:ascii="Arial" w:cs="Arial" w:eastAsia="Arial" w:hAnsi="Arial"/>
                <w:sz w:val="10"/>
                <w:szCs w:val="10"/>
                <w:i w:val="1"/>
                <w:iCs w:val="1"/>
                <w:color w:val="auto"/>
              </w:rPr>
              <w:t>President and Chief Financial Officer</w:t>
            </w:r>
          </w:p>
        </w:tc>
        <w:tc>
          <w:tcPr>
            <w:tcW w:w="28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9"/>
        </w:trPr>
        <w:tc>
          <w:tcPr>
            <w:tcW w:w="57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Daniel S. Harrison, </w:t>
            </w:r>
            <w:r>
              <w:rPr>
                <w:rFonts w:ascii="Arial" w:cs="Arial" w:eastAsia="Arial" w:hAnsi="Arial"/>
                <w:sz w:val="10"/>
                <w:szCs w:val="10"/>
                <w:i w:val="1"/>
                <w:iCs w:val="1"/>
                <w:color w:val="auto"/>
              </w:rPr>
              <w:t>Chief Operating Officer</w:t>
            </w:r>
          </w:p>
        </w:tc>
        <w:tc>
          <w:tcPr>
            <w:tcW w:w="2840" w:type="dxa"/>
            <w:vAlign w:val="bottom"/>
            <w:shd w:val="clear" w:color="auto" w:fill="D9E1F2"/>
          </w:tcPr>
          <w:p>
            <w:pPr>
              <w:jc w:val="center"/>
              <w:ind w:left="1482"/>
              <w:spacing w:after="0"/>
              <w:rPr>
                <w:sz w:val="20"/>
                <w:szCs w:val="20"/>
                <w:color w:val="auto"/>
              </w:rPr>
            </w:pPr>
            <w:r>
              <w:rPr>
                <w:rFonts w:ascii="Arial" w:cs="Arial" w:eastAsia="Arial" w:hAnsi="Arial"/>
                <w:sz w:val="12"/>
                <w:szCs w:val="12"/>
                <w:color w:val="auto"/>
                <w:w w:val="89"/>
              </w:rPr>
              <w:t>June 3, 2020</w:t>
            </w:r>
          </w:p>
        </w:tc>
        <w:tc>
          <w:tcPr>
            <w:tcW w:w="1360" w:type="dxa"/>
            <w:vAlign w:val="bottom"/>
            <w:shd w:val="clear" w:color="auto" w:fill="D9E1F2"/>
          </w:tcPr>
          <w:p>
            <w:pPr>
              <w:jc w:val="center"/>
              <w:spacing w:after="0"/>
              <w:rPr>
                <w:sz w:val="20"/>
                <w:szCs w:val="20"/>
                <w:color w:val="auto"/>
              </w:rPr>
            </w:pPr>
            <w:r>
              <w:rPr>
                <w:rFonts w:ascii="Arial" w:cs="Arial" w:eastAsia="Arial" w:hAnsi="Arial"/>
                <w:sz w:val="12"/>
                <w:szCs w:val="12"/>
                <w:color w:val="auto"/>
                <w:w w:val="87"/>
              </w:rPr>
              <w:t>85,502</w:t>
            </w:r>
          </w:p>
        </w:tc>
        <w:tc>
          <w:tcPr>
            <w:tcW w:w="1340" w:type="dxa"/>
            <w:vAlign w:val="bottom"/>
            <w:tcBorders>
              <w:right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92"/>
              </w:rPr>
              <w:t>85,502</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 xml:space="preserve">David J. Terry, </w:t>
            </w:r>
            <w:r>
              <w:rPr>
                <w:rFonts w:ascii="Arial" w:cs="Arial" w:eastAsia="Arial" w:hAnsi="Arial"/>
                <w:sz w:val="10"/>
                <w:szCs w:val="10"/>
                <w:i w:val="1"/>
                <w:iCs w:val="1"/>
                <w:color w:val="auto"/>
              </w:rPr>
              <w:t>Senior Vice President of Corporate Development</w:t>
            </w:r>
          </w:p>
        </w:tc>
        <w:tc>
          <w:tcPr>
            <w:tcW w:w="2840" w:type="dxa"/>
            <w:vAlign w:val="bottom"/>
          </w:tcPr>
          <w:p>
            <w:pPr>
              <w:jc w:val="center"/>
              <w:ind w:left="1482"/>
              <w:spacing w:after="0"/>
              <w:rPr>
                <w:sz w:val="20"/>
                <w:szCs w:val="20"/>
                <w:color w:val="auto"/>
              </w:rPr>
            </w:pPr>
            <w:r>
              <w:rPr>
                <w:rFonts w:ascii="Arial" w:cs="Arial" w:eastAsia="Arial" w:hAnsi="Arial"/>
                <w:sz w:val="12"/>
                <w:szCs w:val="12"/>
                <w:color w:val="auto"/>
                <w:w w:val="89"/>
              </w:rPr>
              <w:t>June 3, 2020</w:t>
            </w:r>
          </w:p>
        </w:tc>
        <w:tc>
          <w:tcPr>
            <w:tcW w:w="1360" w:type="dxa"/>
            <w:vAlign w:val="bottom"/>
          </w:tcPr>
          <w:p>
            <w:pPr>
              <w:jc w:val="center"/>
              <w:spacing w:after="0"/>
              <w:rPr>
                <w:sz w:val="20"/>
                <w:szCs w:val="20"/>
                <w:color w:val="auto"/>
              </w:rPr>
            </w:pPr>
            <w:r>
              <w:rPr>
                <w:rFonts w:ascii="Arial" w:cs="Arial" w:eastAsia="Arial" w:hAnsi="Arial"/>
                <w:sz w:val="12"/>
                <w:szCs w:val="12"/>
                <w:color w:val="auto"/>
                <w:w w:val="87"/>
              </w:rPr>
              <w:t>40,428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40,428</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 xml:space="preserve">Daniel K. Presley, </w:t>
            </w:r>
            <w:r>
              <w:rPr>
                <w:rFonts w:ascii="Arial" w:cs="Arial" w:eastAsia="Arial" w:hAnsi="Arial"/>
                <w:sz w:val="10"/>
                <w:szCs w:val="10"/>
                <w:i w:val="1"/>
                <w:iCs w:val="1"/>
                <w:color w:val="auto"/>
              </w:rPr>
              <w:t>Vice President of Accounting</w:t>
            </w:r>
          </w:p>
        </w:tc>
        <w:tc>
          <w:tcPr>
            <w:tcW w:w="2840" w:type="dxa"/>
            <w:vAlign w:val="bottom"/>
            <w:tcBorders>
              <w:bottom w:val="single" w:sz="8" w:color="auto"/>
            </w:tcBorders>
            <w:shd w:val="clear" w:color="auto" w:fill="D9E1F2"/>
          </w:tcPr>
          <w:p>
            <w:pPr>
              <w:jc w:val="center"/>
              <w:ind w:left="1482"/>
              <w:spacing w:after="0"/>
              <w:rPr>
                <w:sz w:val="20"/>
                <w:szCs w:val="20"/>
                <w:color w:val="auto"/>
              </w:rPr>
            </w:pPr>
            <w:r>
              <w:rPr>
                <w:rFonts w:ascii="Arial" w:cs="Arial" w:eastAsia="Arial" w:hAnsi="Arial"/>
                <w:sz w:val="12"/>
                <w:szCs w:val="12"/>
                <w:color w:val="auto"/>
                <w:w w:val="89"/>
              </w:rPr>
              <w:t>June 3, 2020</w:t>
            </w:r>
          </w:p>
        </w:tc>
        <w:tc>
          <w:tcPr>
            <w:tcW w:w="136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87"/>
              </w:rPr>
              <w:t>22,514</w:t>
            </w:r>
          </w:p>
        </w:tc>
        <w:tc>
          <w:tcPr>
            <w:tcW w:w="1340" w:type="dxa"/>
            <w:vAlign w:val="bottom"/>
            <w:tcBorders>
              <w:bottom w:val="single" w:sz="8" w:color="auto"/>
              <w:right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92"/>
              </w:rPr>
              <w:t>22,514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i w:val="1"/>
          <w:iCs w:val="1"/>
          <w:color w:val="auto"/>
        </w:rPr>
        <w:t xml:space="preserve">2020 Restricted Stock Awards. </w:t>
      </w:r>
      <w:r>
        <w:rPr>
          <w:rFonts w:ascii="Arial" w:cs="Arial" w:eastAsia="Arial" w:hAnsi="Arial"/>
          <w:sz w:val="13"/>
          <w:szCs w:val="13"/>
          <w:color w:val="auto"/>
        </w:rPr>
        <w:t>On June 3, 2020, the Board approved a grant of restricted shares for the NEOs as recommended by the compensation committee. Each of these grants vests ratably over a three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provided that the NEO is employed through each vesting date. Upon each vesting date, one-third of the NEO's restricted stock award will become free of any restrictions. Generally, if an NEO should terminate employment prior to a vesting date, any remaining unvested restricted shares would be forfeited.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2020 PSUs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June 3, 2020, the Board approved a grant of PSUs for the NEOs as recommended by the compensation committee. The number of PSUs earned is based on the Company's TSR relative to a peer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group over a three year performance period that began on June 3, 2020 and will end on June 2, 2023 as shown in the table below:</w:t>
      </w:r>
    </w:p>
    <w:p>
      <w:pPr>
        <w:spacing w:after="0" w:line="121" w:lineRule="exact"/>
        <w:rPr>
          <w:sz w:val="20"/>
          <w:szCs w:val="20"/>
          <w:color w:val="auto"/>
        </w:rPr>
      </w:pPr>
    </w:p>
    <w:tbl>
      <w:tblPr>
        <w:tblLayout w:type="fixed"/>
        <w:tblInd w:w="1350" w:type="dxa"/>
        <w:tblCellMar>
          <w:top w:w="0" w:type="dxa"/>
          <w:left w:w="0" w:type="dxa"/>
          <w:bottom w:w="0" w:type="dxa"/>
          <w:right w:w="0" w:type="dxa"/>
        </w:tblCellMar>
      </w:tblPr>
      <w:tr>
        <w:trPr>
          <w:trHeight w:val="117"/>
        </w:trPr>
        <w:tc>
          <w:tcPr>
            <w:tcW w:w="2280" w:type="dxa"/>
            <w:vAlign w:val="bottom"/>
            <w:tcBorders>
              <w:top w:val="single" w:sz="8" w:color="auto"/>
              <w:left w:val="single" w:sz="8" w:color="auto"/>
            </w:tcBorders>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Level of Performance</w:t>
            </w:r>
          </w:p>
        </w:tc>
        <w:tc>
          <w:tcPr>
            <w:tcW w:w="3680" w:type="dxa"/>
            <w:vAlign w:val="bottom"/>
            <w:tcBorders>
              <w:top w:val="single" w:sz="8" w:color="auto"/>
            </w:tcBorders>
            <w:shd w:val="clear" w:color="auto" w:fill="D9E1F2"/>
          </w:tcPr>
          <w:p>
            <w:pPr>
              <w:jc w:val="center"/>
              <w:ind w:left="302"/>
              <w:spacing w:after="0" w:line="117" w:lineRule="exact"/>
              <w:rPr>
                <w:sz w:val="20"/>
                <w:szCs w:val="20"/>
                <w:color w:val="auto"/>
              </w:rPr>
            </w:pPr>
            <w:r>
              <w:rPr>
                <w:rFonts w:ascii="Arial" w:cs="Arial" w:eastAsia="Arial" w:hAnsi="Arial"/>
                <w:sz w:val="11"/>
                <w:szCs w:val="11"/>
                <w:b w:val="1"/>
                <w:bCs w:val="1"/>
                <w:color w:val="auto"/>
                <w:w w:val="91"/>
              </w:rPr>
              <w:t>Relative TSR Performance Over</w:t>
            </w:r>
          </w:p>
        </w:tc>
        <w:tc>
          <w:tcPr>
            <w:tcW w:w="2660" w:type="dxa"/>
            <w:vAlign w:val="bottom"/>
            <w:tcBorders>
              <w:top w:val="single" w:sz="8" w:color="auto"/>
              <w:right w:val="single" w:sz="8" w:color="auto"/>
            </w:tcBorders>
            <w:vMerge w:val="restart"/>
            <w:shd w:val="clear" w:color="auto" w:fill="D9E1F2"/>
          </w:tcPr>
          <w:p>
            <w:pPr>
              <w:jc w:val="center"/>
              <w:spacing w:after="0"/>
              <w:rPr>
                <w:sz w:val="20"/>
                <w:szCs w:val="20"/>
                <w:color w:val="auto"/>
              </w:rPr>
            </w:pPr>
            <w:r>
              <w:rPr>
                <w:rFonts w:ascii="Arial" w:cs="Arial" w:eastAsia="Arial" w:hAnsi="Arial"/>
                <w:sz w:val="11"/>
                <w:szCs w:val="11"/>
                <w:b w:val="1"/>
                <w:bCs w:val="1"/>
                <w:color w:val="auto"/>
                <w:w w:val="87"/>
              </w:rPr>
              <w:t># of Earned PSUs</w:t>
            </w:r>
          </w:p>
        </w:tc>
        <w:tc>
          <w:tcPr>
            <w:tcW w:w="0" w:type="dxa"/>
            <w:vAlign w:val="bottom"/>
          </w:tcPr>
          <w:p>
            <w:pPr>
              <w:spacing w:after="0"/>
              <w:rPr>
                <w:sz w:val="1"/>
                <w:szCs w:val="1"/>
                <w:color w:val="auto"/>
              </w:rPr>
            </w:pPr>
          </w:p>
        </w:tc>
      </w:tr>
      <w:tr>
        <w:trPr>
          <w:trHeight w:val="142"/>
        </w:trPr>
        <w:tc>
          <w:tcPr>
            <w:tcW w:w="228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3680" w:type="dxa"/>
            <w:vAlign w:val="bottom"/>
            <w:tcBorders>
              <w:bottom w:val="single" w:sz="8" w:color="auto"/>
            </w:tcBorders>
            <w:shd w:val="clear" w:color="auto" w:fill="D9E1F2"/>
          </w:tcPr>
          <w:p>
            <w:pPr>
              <w:jc w:val="center"/>
              <w:ind w:left="282"/>
              <w:spacing w:after="0"/>
              <w:rPr>
                <w:sz w:val="20"/>
                <w:szCs w:val="20"/>
                <w:color w:val="auto"/>
              </w:rPr>
            </w:pPr>
            <w:r>
              <w:rPr>
                <w:rFonts w:ascii="Arial" w:cs="Arial" w:eastAsia="Arial" w:hAnsi="Arial"/>
                <w:sz w:val="11"/>
                <w:szCs w:val="11"/>
                <w:b w:val="1"/>
                <w:bCs w:val="1"/>
                <w:color w:val="auto"/>
                <w:w w:val="88"/>
              </w:rPr>
              <w:t>Specified Performance Period</w:t>
            </w:r>
          </w:p>
        </w:tc>
        <w:tc>
          <w:tcPr>
            <w:tcW w:w="2660" w:type="dxa"/>
            <w:vAlign w:val="bottom"/>
            <w:tcBorders>
              <w:bottom w:val="single" w:sz="8" w:color="auto"/>
              <w:right w:val="single" w:sz="8" w:color="auto"/>
            </w:tcBorders>
            <w:vMerge w:val="continue"/>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Maximum</w:t>
            </w:r>
          </w:p>
        </w:tc>
        <w:tc>
          <w:tcPr>
            <w:tcW w:w="3680" w:type="dxa"/>
            <w:vAlign w:val="bottom"/>
          </w:tcPr>
          <w:p>
            <w:pPr>
              <w:jc w:val="center"/>
              <w:ind w:left="302"/>
              <w:spacing w:after="0"/>
              <w:rPr>
                <w:sz w:val="20"/>
                <w:szCs w:val="20"/>
                <w:color w:val="auto"/>
              </w:rPr>
            </w:pPr>
            <w:r>
              <w:rPr>
                <w:rFonts w:ascii="Arial" w:cs="Arial" w:eastAsia="Arial" w:hAnsi="Arial"/>
                <w:sz w:val="12"/>
                <w:szCs w:val="12"/>
                <w:color w:val="auto"/>
                <w:w w:val="90"/>
              </w:rPr>
              <w:t>90th Percentile of Peer Group</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200% of Target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Target</w:t>
            </w:r>
          </w:p>
        </w:tc>
        <w:tc>
          <w:tcPr>
            <w:tcW w:w="3680" w:type="dxa"/>
            <w:vAlign w:val="bottom"/>
            <w:shd w:val="clear" w:color="auto" w:fill="D9E1F2"/>
          </w:tcPr>
          <w:p>
            <w:pPr>
              <w:jc w:val="center"/>
              <w:ind w:left="302"/>
              <w:spacing w:after="0"/>
              <w:rPr>
                <w:sz w:val="20"/>
                <w:szCs w:val="20"/>
                <w:color w:val="auto"/>
              </w:rPr>
            </w:pPr>
            <w:r>
              <w:rPr>
                <w:rFonts w:ascii="Arial" w:cs="Arial" w:eastAsia="Arial" w:hAnsi="Arial"/>
                <w:sz w:val="12"/>
                <w:szCs w:val="12"/>
                <w:color w:val="auto"/>
                <w:w w:val="90"/>
              </w:rPr>
              <w:t>50th Percentile of Peer Group</w:t>
            </w:r>
          </w:p>
        </w:tc>
        <w:tc>
          <w:tcPr>
            <w:tcW w:w="2660" w:type="dxa"/>
            <w:vAlign w:val="bottom"/>
            <w:tcBorders>
              <w:right w:val="single" w:sz="8" w:color="auto"/>
            </w:tcBorders>
            <w:shd w:val="clear" w:color="auto" w:fill="D9E1F2"/>
          </w:tcPr>
          <w:p>
            <w:pPr>
              <w:jc w:val="center"/>
              <w:spacing w:after="0"/>
              <w:rPr>
                <w:sz w:val="20"/>
                <w:szCs w:val="20"/>
                <w:color w:val="auto"/>
              </w:rPr>
            </w:pPr>
            <w:r>
              <w:rPr>
                <w:rFonts w:ascii="Arial" w:cs="Arial" w:eastAsia="Arial" w:hAnsi="Arial"/>
                <w:sz w:val="12"/>
                <w:szCs w:val="12"/>
                <w:color w:val="auto"/>
                <w:w w:val="90"/>
              </w:rPr>
              <w:t>100% of Target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Threshold</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12"/>
                <w:szCs w:val="12"/>
                <w:color w:val="auto"/>
                <w:w w:val="90"/>
              </w:rPr>
              <w:t>20th Percentile of Peer Group</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50% of Target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committee approved the following natural gas producer peer group to measure the Company's TSR performance:</w:t>
      </w:r>
    </w:p>
    <w:p>
      <w:pPr>
        <w:spacing w:after="0" w:line="175"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Arial" w:cs="Arial" w:eastAsia="Arial" w:hAnsi="Arial"/>
                <w:sz w:val="13"/>
                <w:szCs w:val="13"/>
                <w:color w:val="auto"/>
              </w:rPr>
              <w:t>Antero Resources Corporation</w:t>
            </w:r>
          </w:p>
        </w:tc>
        <w:tc>
          <w:tcPr>
            <w:tcW w:w="3100" w:type="dxa"/>
            <w:vAlign w:val="bottom"/>
          </w:tcPr>
          <w:p>
            <w:pPr>
              <w:ind w:left="820"/>
              <w:spacing w:after="0"/>
              <w:rPr>
                <w:sz w:val="20"/>
                <w:szCs w:val="20"/>
                <w:color w:val="auto"/>
              </w:rPr>
            </w:pPr>
            <w:r>
              <w:rPr>
                <w:rFonts w:ascii="Arial" w:cs="Arial" w:eastAsia="Arial" w:hAnsi="Arial"/>
                <w:sz w:val="13"/>
                <w:szCs w:val="13"/>
                <w:color w:val="auto"/>
              </w:rPr>
              <w:t>CNX Resources Corporation</w:t>
            </w:r>
          </w:p>
        </w:tc>
        <w:tc>
          <w:tcPr>
            <w:tcW w:w="2420" w:type="dxa"/>
            <w:vAlign w:val="bottom"/>
          </w:tcPr>
          <w:p>
            <w:pPr>
              <w:ind w:left="740"/>
              <w:spacing w:after="0"/>
              <w:rPr>
                <w:sz w:val="20"/>
                <w:szCs w:val="20"/>
                <w:color w:val="auto"/>
              </w:rPr>
            </w:pPr>
            <w:r>
              <w:rPr>
                <w:rFonts w:ascii="Arial" w:cs="Arial" w:eastAsia="Arial" w:hAnsi="Arial"/>
                <w:sz w:val="13"/>
                <w:szCs w:val="13"/>
                <w:color w:val="auto"/>
                <w:w w:val="94"/>
              </w:rPr>
              <w:t>Range Resources Corporation</w:t>
            </w:r>
          </w:p>
        </w:tc>
      </w:tr>
      <w:tr>
        <w:trPr>
          <w:trHeight w:val="162"/>
        </w:trPr>
        <w:tc>
          <w:tcPr>
            <w:tcW w:w="2540" w:type="dxa"/>
            <w:vAlign w:val="bottom"/>
          </w:tcPr>
          <w:p>
            <w:pPr>
              <w:spacing w:after="0"/>
              <w:rPr>
                <w:sz w:val="20"/>
                <w:szCs w:val="20"/>
                <w:color w:val="auto"/>
              </w:rPr>
            </w:pPr>
            <w:r>
              <w:rPr>
                <w:rFonts w:ascii="Arial" w:cs="Arial" w:eastAsia="Arial" w:hAnsi="Arial"/>
                <w:sz w:val="13"/>
                <w:szCs w:val="13"/>
                <w:color w:val="auto"/>
              </w:rPr>
              <w:t>Cabot Oil &amp; Gas Corporation</w:t>
            </w:r>
          </w:p>
        </w:tc>
        <w:tc>
          <w:tcPr>
            <w:tcW w:w="3100" w:type="dxa"/>
            <w:vAlign w:val="bottom"/>
          </w:tcPr>
          <w:p>
            <w:pPr>
              <w:ind w:left="820"/>
              <w:spacing w:after="0"/>
              <w:rPr>
                <w:sz w:val="20"/>
                <w:szCs w:val="20"/>
                <w:color w:val="auto"/>
              </w:rPr>
            </w:pPr>
            <w:r>
              <w:rPr>
                <w:rFonts w:ascii="Arial" w:cs="Arial" w:eastAsia="Arial" w:hAnsi="Arial"/>
                <w:sz w:val="13"/>
                <w:szCs w:val="13"/>
                <w:color w:val="auto"/>
              </w:rPr>
              <w:t>EQT Corporation</w:t>
            </w:r>
          </w:p>
        </w:tc>
        <w:tc>
          <w:tcPr>
            <w:tcW w:w="2420" w:type="dxa"/>
            <w:vAlign w:val="bottom"/>
          </w:tcPr>
          <w:p>
            <w:pPr>
              <w:ind w:left="740"/>
              <w:spacing w:after="0"/>
              <w:rPr>
                <w:sz w:val="20"/>
                <w:szCs w:val="20"/>
                <w:color w:val="auto"/>
              </w:rPr>
            </w:pPr>
            <w:r>
              <w:rPr>
                <w:rFonts w:ascii="Arial" w:cs="Arial" w:eastAsia="Arial" w:hAnsi="Arial"/>
                <w:sz w:val="13"/>
                <w:szCs w:val="13"/>
                <w:color w:val="auto"/>
              </w:rPr>
              <w:t>Silverbow Resources, Inc.</w:t>
            </w:r>
          </w:p>
        </w:tc>
      </w:tr>
      <w:tr>
        <w:trPr>
          <w:trHeight w:val="166"/>
        </w:trPr>
        <w:tc>
          <w:tcPr>
            <w:tcW w:w="2540" w:type="dxa"/>
            <w:vAlign w:val="bottom"/>
          </w:tcPr>
          <w:p>
            <w:pPr>
              <w:spacing w:after="0"/>
              <w:rPr>
                <w:sz w:val="20"/>
                <w:szCs w:val="20"/>
                <w:color w:val="auto"/>
              </w:rPr>
            </w:pPr>
            <w:r>
              <w:rPr>
                <w:rFonts w:ascii="Arial" w:cs="Arial" w:eastAsia="Arial" w:hAnsi="Arial"/>
                <w:sz w:val="13"/>
                <w:szCs w:val="13"/>
                <w:color w:val="auto"/>
              </w:rPr>
              <w:t>Chesapeake Energy Corporation</w:t>
            </w:r>
          </w:p>
        </w:tc>
        <w:tc>
          <w:tcPr>
            <w:tcW w:w="3100" w:type="dxa"/>
            <w:vAlign w:val="bottom"/>
          </w:tcPr>
          <w:p>
            <w:pPr>
              <w:ind w:left="820"/>
              <w:spacing w:after="0"/>
              <w:rPr>
                <w:sz w:val="20"/>
                <w:szCs w:val="20"/>
                <w:color w:val="auto"/>
              </w:rPr>
            </w:pPr>
            <w:r>
              <w:rPr>
                <w:rFonts w:ascii="Arial" w:cs="Arial" w:eastAsia="Arial" w:hAnsi="Arial"/>
                <w:sz w:val="13"/>
                <w:szCs w:val="13"/>
                <w:color w:val="auto"/>
              </w:rPr>
              <w:t>Gulfport Energy Corporation</w:t>
            </w:r>
          </w:p>
        </w:tc>
        <w:tc>
          <w:tcPr>
            <w:tcW w:w="2420" w:type="dxa"/>
            <w:vAlign w:val="bottom"/>
          </w:tcPr>
          <w:p>
            <w:pPr>
              <w:ind w:left="740"/>
              <w:spacing w:after="0"/>
              <w:rPr>
                <w:sz w:val="20"/>
                <w:szCs w:val="20"/>
                <w:color w:val="auto"/>
              </w:rPr>
            </w:pPr>
            <w:r>
              <w:rPr>
                <w:rFonts w:ascii="Arial" w:cs="Arial" w:eastAsia="Arial" w:hAnsi="Arial"/>
                <w:sz w:val="13"/>
                <w:szCs w:val="13"/>
                <w:color w:val="auto"/>
                <w:w w:val="90"/>
              </w:rPr>
              <w:t>Southwestern Energy Company</w:t>
            </w:r>
          </w:p>
        </w:tc>
      </w:tr>
    </w:tbl>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For performance that falls between threshold and target or between target and maximum, the number of PSUs earned is determined through interpolation. In the event that TSR is negative the percentage earned is limited to the target award. The number of PSUs earned at the end of a performance period will be settled in a like number of shares of our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Executive Life Insurance Plan</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We cover each of our NEOs under an executive life insurance plan. The purpose of this plan is to provide each NEO additional life insurance protection and additional savings for their retirement. Under this plan, we contribute five percent of each NEO's annual cash compensation to pay premiums on a variable universal life insurance policy.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31"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Each NEO directs the investment of the policy's cash value among a selection of mutual funds offered by the life insurance carrier.</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During employment, each NEO may designate a beneficiary to receive payment of the death benefit under the variable life insurance policy (reduced by the amount of the premiums paid into the plan, which are repaid to us), but has no other rights of ownership in the policy. Upon an NEO's termination of employment, the policy will be transferred to the NEO. In 2020, we paid premiums of $351,989 on the variable life insurance policies.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Other Benefits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executive officers receive medical, group life insurance and other benefits including matching contributions under our 401(k) plan that are available generally to all of our salaried employees over 21 years of age. We have no defined benefit retirement plans for any of our employees.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Limitation on Income Tax Deduction for Executive Compensation</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Section 162(m) of the Internal Revenue Code, as modified by the Tax Cuts and Jobs Act (the "TCJA"), generally limits the corporate income tax deduction for compensation paid to any individual who served as the chief executive officer or chief financial officer at any time during the taxable year and the three other most highly compensated officers (other than the chief executive officer and chief financial officer) for the taxable year. These five individuals are considered "covered employees". Once an individual becomes a covered employee for any taxable year, that individual will remain a covered employee for all future years. All compensation paid to a covered employee in excess of $1 million is nondeductible, including post-termination and post-death payments, severance, deferred compensation and payments from nonqualified plans.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Compensation Risk Assessment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compensation committee reviewed the possible relationship between risk and our incentive compensation program for all employees. The compensation committee believes that our compensation policies and practices do not encourage excessive risk and are not reasonably likely to have a material adverse effect on the Company. The following design elements of our incentive compensation program are intended to mitigate excessive risk taking: (1) basing cash bonuses on the achievement of objective performance metrics that link directly into our business plan, (2) linking a significant portion of NEO total compensation to changes in our share price, which helps to align the interests of the NEOs with that of our stockholders, (3) basing PSU payouts on the Company TSR relative to a peer group, (4) striking an appropriate balance between short-term and long-term incentives to ensure that our NEOs maintain a balanced focus on both short-term financial objectives and long-term share shareholder value creation, (5) the vesting of restricted stock awards annually over three years, and (6) stock ownership and retention requirements for our NEOs.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225CAB"/>
        </w:rPr>
        <w:t>Clawback Provisions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CEO and President are currently subject to the forfeiture of bonuses and profits stipulated by Section 304 of the Sarbanes Oxley Act of 2002. In addition, the compensation committee has adopted an Executive Compensation Clawback Policy (the "Clawback Policy"), which provides that in the event of an accounting restatement due to material noncompliance with the financial reporting requirements under federal securities laws, the Company may seek to recover certain excess incentive-based compensation paid to current or former executives of the Company, including NEOs ("Covered Employees") as a result of such misstatement.</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Company also has a right of recoupment in the event of a Covered Employee's misconduct. "Misconduct" is defined in the Clawback Policy as including, but not limited to, a material breach of the Covered Employee's employment agreement; gross negligence or willful misconduct in the performance of the Covered Employee's duties; and breach of any fiduciary duty owed to the Company, including, without limitation, engaging in competitive acts while employed by the Company. In the event of a Covered Employee's misconduct, the Clawback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31" w:right="299" w:bottom="1440" w:gutter="0" w:footer="0" w:header="0"/>
        </w:sectPr>
      </w:pPr>
    </w:p>
    <w:bookmarkStart w:id="34" w:name="page35"/>
    <w:bookmarkEnd w:id="34"/>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8" w:right="20"/>
        <w:spacing w:after="0" w:line="271" w:lineRule="auto"/>
        <w:rPr>
          <w:sz w:val="20"/>
          <w:szCs w:val="20"/>
          <w:color w:val="auto"/>
        </w:rPr>
      </w:pPr>
      <w:r>
        <w:rPr>
          <w:rFonts w:ascii="Arial" w:cs="Arial" w:eastAsia="Arial" w:hAnsi="Arial"/>
          <w:sz w:val="13"/>
          <w:szCs w:val="13"/>
          <w:color w:val="auto"/>
        </w:rPr>
        <w:t>Policy provides the Company with the right to recoup incentive compensation or severance compensation that the Covered Employee was awarded and paid within a specified time period and cause the forfeiture of such Covered Employee's outstanding incentive awards or severance compensation that has not yet become due or payable.</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3"/>
          <w:szCs w:val="13"/>
          <w:color w:val="auto"/>
        </w:rPr>
        <w:t>Our compensation committee will adopt provisions consistent with the requirements of the Dodd-Frank Act when final regulatory guidance is issued by the SEC.</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Summary Compensation Table</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reflects the elements of compensation earned by our NEOs under our executive compensation programs.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 xml:space="preserve">Salary: </w:t>
      </w:r>
      <w:r>
        <w:rPr>
          <w:rFonts w:ascii="Arial" w:cs="Arial" w:eastAsia="Arial" w:hAnsi="Arial"/>
          <w:sz w:val="13"/>
          <w:szCs w:val="13"/>
          <w:color w:val="auto"/>
        </w:rPr>
        <w:t>Values shown represent the base salary earnings of the NEOs.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 xml:space="preserve">Grant Date Fair Value of Stock Awards: </w:t>
      </w:r>
      <w:r>
        <w:rPr>
          <w:rFonts w:ascii="Arial" w:cs="Arial" w:eastAsia="Arial" w:hAnsi="Arial"/>
          <w:sz w:val="13"/>
          <w:szCs w:val="13"/>
          <w:color w:val="auto"/>
        </w:rPr>
        <w:t>This column represents the grant date fair value of grants of restricted stock and PSUs.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 xml:space="preserve">Non-Equity Incentive Plan Compensation: </w:t>
      </w:r>
      <w:r>
        <w:rPr>
          <w:rFonts w:ascii="Arial" w:cs="Arial" w:eastAsia="Arial" w:hAnsi="Arial"/>
          <w:sz w:val="13"/>
          <w:szCs w:val="13"/>
          <w:color w:val="auto"/>
        </w:rPr>
        <w:t>This column represents the cash bonus earned under the Company's Annual Incentive Plan.</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 xml:space="preserve">Bonus: </w:t>
      </w:r>
      <w:r>
        <w:rPr>
          <w:rFonts w:ascii="Arial" w:cs="Arial" w:eastAsia="Arial" w:hAnsi="Arial"/>
          <w:sz w:val="13"/>
          <w:szCs w:val="13"/>
          <w:color w:val="auto"/>
        </w:rPr>
        <w:t>Values reflect the discretionary cash bonus earned by the NEO.</w:t>
      </w:r>
    </w:p>
    <w:p>
      <w:pPr>
        <w:spacing w:after="0" w:line="130" w:lineRule="exact"/>
        <w:rPr>
          <w:sz w:val="20"/>
          <w:szCs w:val="20"/>
          <w:color w:val="auto"/>
        </w:rPr>
      </w:pPr>
    </w:p>
    <w:p>
      <w:pPr>
        <w:ind w:left="8"/>
        <w:spacing w:after="0" w:line="321" w:lineRule="auto"/>
        <w:rPr>
          <w:sz w:val="20"/>
          <w:szCs w:val="20"/>
          <w:color w:val="auto"/>
        </w:rPr>
      </w:pPr>
      <w:r>
        <w:rPr>
          <w:rFonts w:ascii="Arial" w:cs="Arial" w:eastAsia="Arial" w:hAnsi="Arial"/>
          <w:sz w:val="12"/>
          <w:szCs w:val="12"/>
          <w:b w:val="1"/>
          <w:bCs w:val="1"/>
          <w:color w:val="auto"/>
        </w:rPr>
        <w:t xml:space="preserve">Non-Qualified Deferred Compensation Earnings: </w:t>
      </w:r>
      <w:r>
        <w:rPr>
          <w:rFonts w:ascii="Arial" w:cs="Arial" w:eastAsia="Arial" w:hAnsi="Arial"/>
          <w:sz w:val="12"/>
          <w:szCs w:val="12"/>
          <w:color w:val="auto"/>
        </w:rPr>
        <w:t>This column reflects "above market" earnings on non-qualified deferred compensation plans. This is the difference between (i) actual earnings on the cash</w:t>
      </w:r>
      <w:r>
        <w:rPr>
          <w:rFonts w:ascii="Arial" w:cs="Arial" w:eastAsia="Arial" w:hAnsi="Arial"/>
          <w:sz w:val="12"/>
          <w:szCs w:val="12"/>
          <w:b w:val="1"/>
          <w:bCs w:val="1"/>
          <w:color w:val="auto"/>
        </w:rPr>
        <w:t xml:space="preserve"> </w:t>
      </w:r>
      <w:r>
        <w:rPr>
          <w:rFonts w:ascii="Arial" w:cs="Arial" w:eastAsia="Arial" w:hAnsi="Arial"/>
          <w:sz w:val="12"/>
          <w:szCs w:val="12"/>
          <w:color w:val="auto"/>
        </w:rPr>
        <w:t>surrender values of universal life insurance policies owned by us insuring each executive under our Executive Life Insurance Plan, and (ii) market interest rates, as determined pursuant to the SEC's rules.</w:t>
      </w:r>
    </w:p>
    <w:p>
      <w:pPr>
        <w:spacing w:after="0" w:line="54" w:lineRule="exact"/>
        <w:rPr>
          <w:sz w:val="20"/>
          <w:szCs w:val="20"/>
          <w:color w:val="auto"/>
        </w:rPr>
      </w:pPr>
    </w:p>
    <w:p>
      <w:pPr>
        <w:ind w:left="8" w:right="20"/>
        <w:spacing w:after="0" w:line="277" w:lineRule="auto"/>
        <w:rPr>
          <w:sz w:val="20"/>
          <w:szCs w:val="20"/>
          <w:color w:val="auto"/>
        </w:rPr>
      </w:pPr>
      <w:r>
        <w:rPr>
          <w:rFonts w:ascii="Arial" w:cs="Arial" w:eastAsia="Arial" w:hAnsi="Arial"/>
          <w:sz w:val="13"/>
          <w:szCs w:val="13"/>
          <w:b w:val="1"/>
          <w:bCs w:val="1"/>
          <w:color w:val="auto"/>
        </w:rPr>
        <w:t xml:space="preserve">All Other Compensation: </w:t>
      </w:r>
      <w:r>
        <w:rPr>
          <w:rFonts w:ascii="Arial" w:cs="Arial" w:eastAsia="Arial" w:hAnsi="Arial"/>
          <w:sz w:val="13"/>
          <w:szCs w:val="13"/>
          <w:color w:val="auto"/>
        </w:rPr>
        <w:t>This column represents the value of the additional benefits provided by us that include the employer match under our 401(k) plan, life insurance premiums paid by us for the benefit of</w:t>
      </w:r>
      <w:r>
        <w:rPr>
          <w:rFonts w:ascii="Arial" w:cs="Arial" w:eastAsia="Arial" w:hAnsi="Arial"/>
          <w:sz w:val="13"/>
          <w:szCs w:val="13"/>
          <w:b w:val="1"/>
          <w:bCs w:val="1"/>
          <w:color w:val="auto"/>
        </w:rPr>
        <w:t xml:space="preserve"> </w:t>
      </w:r>
      <w:r>
        <w:rPr>
          <w:rFonts w:ascii="Arial" w:cs="Arial" w:eastAsia="Arial" w:hAnsi="Arial"/>
          <w:sz w:val="13"/>
          <w:szCs w:val="13"/>
          <w:color w:val="auto"/>
        </w:rPr>
        <w:t>certain executive officers and incremental costs incurred for personal use of our corporate aircraft.</w:t>
      </w:r>
    </w:p>
    <w:p>
      <w:pPr>
        <w:spacing w:after="0" w:line="117" w:lineRule="exact"/>
        <w:rPr>
          <w:sz w:val="20"/>
          <w:szCs w:val="20"/>
          <w:color w:val="auto"/>
        </w:rPr>
      </w:pPr>
    </w:p>
    <w:tbl>
      <w:tblPr>
        <w:tblLayout w:type="fixed"/>
        <w:tblInd w:w="18" w:type="dxa"/>
        <w:tblCellMar>
          <w:top w:w="0" w:type="dxa"/>
          <w:left w:w="0" w:type="dxa"/>
          <w:bottom w:w="0" w:type="dxa"/>
          <w:right w:w="0" w:type="dxa"/>
        </w:tblCellMar>
      </w:tblPr>
      <w:tr>
        <w:trPr>
          <w:trHeight w:val="99"/>
        </w:trPr>
        <w:tc>
          <w:tcPr>
            <w:tcW w:w="2840" w:type="dxa"/>
            <w:vAlign w:val="bottom"/>
            <w:tcBorders>
              <w:top w:val="single" w:sz="8" w:color="auto"/>
              <w:left w:val="single" w:sz="8" w:color="auto"/>
            </w:tcBorders>
            <w:shd w:val="clear" w:color="auto" w:fill="D9E1F2"/>
          </w:tcPr>
          <w:p>
            <w:pPr>
              <w:spacing w:after="0"/>
              <w:rPr>
                <w:sz w:val="8"/>
                <w:szCs w:val="8"/>
                <w:color w:val="auto"/>
              </w:rPr>
            </w:pPr>
          </w:p>
        </w:tc>
        <w:tc>
          <w:tcPr>
            <w:tcW w:w="700" w:type="dxa"/>
            <w:vAlign w:val="bottom"/>
            <w:tcBorders>
              <w:top w:val="single" w:sz="8" w:color="auto"/>
            </w:tcBorders>
            <w:shd w:val="clear" w:color="auto" w:fill="D9E1F2"/>
          </w:tcPr>
          <w:p>
            <w:pPr>
              <w:spacing w:after="0"/>
              <w:rPr>
                <w:sz w:val="8"/>
                <w:szCs w:val="8"/>
                <w:color w:val="auto"/>
              </w:rPr>
            </w:pPr>
          </w:p>
        </w:tc>
        <w:tc>
          <w:tcPr>
            <w:tcW w:w="1000" w:type="dxa"/>
            <w:vAlign w:val="bottom"/>
            <w:tcBorders>
              <w:top w:val="single" w:sz="8" w:color="auto"/>
            </w:tcBorders>
            <w:shd w:val="clear" w:color="auto" w:fill="D9E1F2"/>
          </w:tcPr>
          <w:p>
            <w:pPr>
              <w:spacing w:after="0"/>
              <w:rPr>
                <w:sz w:val="8"/>
                <w:szCs w:val="8"/>
                <w:color w:val="auto"/>
              </w:rPr>
            </w:pPr>
          </w:p>
        </w:tc>
        <w:tc>
          <w:tcPr>
            <w:tcW w:w="1000" w:type="dxa"/>
            <w:vAlign w:val="bottom"/>
            <w:tcBorders>
              <w:top w:val="single" w:sz="8" w:color="auto"/>
            </w:tcBorders>
            <w:shd w:val="clear" w:color="auto" w:fill="D9E1F2"/>
          </w:tcPr>
          <w:p>
            <w:pPr>
              <w:jc w:val="center"/>
              <w:ind w:right="212"/>
              <w:spacing w:after="0" w:line="99" w:lineRule="exact"/>
              <w:rPr>
                <w:sz w:val="20"/>
                <w:szCs w:val="20"/>
                <w:color w:val="auto"/>
              </w:rPr>
            </w:pPr>
            <w:r>
              <w:rPr>
                <w:rFonts w:ascii="Arial" w:cs="Arial" w:eastAsia="Arial" w:hAnsi="Arial"/>
                <w:sz w:val="10"/>
                <w:szCs w:val="10"/>
                <w:b w:val="1"/>
                <w:bCs w:val="1"/>
                <w:color w:val="auto"/>
                <w:w w:val="97"/>
              </w:rPr>
              <w:t>Grant</w:t>
            </w:r>
          </w:p>
        </w:tc>
        <w:tc>
          <w:tcPr>
            <w:tcW w:w="1220" w:type="dxa"/>
            <w:vAlign w:val="bottom"/>
            <w:tcBorders>
              <w:top w:val="single" w:sz="8" w:color="auto"/>
            </w:tcBorders>
            <w:shd w:val="clear" w:color="auto" w:fill="D9E1F2"/>
          </w:tcPr>
          <w:p>
            <w:pPr>
              <w:spacing w:after="0"/>
              <w:rPr>
                <w:sz w:val="8"/>
                <w:szCs w:val="8"/>
                <w:color w:val="auto"/>
              </w:rPr>
            </w:pPr>
          </w:p>
        </w:tc>
        <w:tc>
          <w:tcPr>
            <w:tcW w:w="980" w:type="dxa"/>
            <w:vAlign w:val="bottom"/>
            <w:tcBorders>
              <w:top w:val="single" w:sz="8" w:color="auto"/>
            </w:tcBorders>
            <w:shd w:val="clear" w:color="auto" w:fill="D9E1F2"/>
          </w:tcPr>
          <w:p>
            <w:pPr>
              <w:spacing w:after="0"/>
              <w:rPr>
                <w:sz w:val="8"/>
                <w:szCs w:val="8"/>
                <w:color w:val="auto"/>
              </w:rPr>
            </w:pPr>
          </w:p>
        </w:tc>
        <w:tc>
          <w:tcPr>
            <w:tcW w:w="1220" w:type="dxa"/>
            <w:vAlign w:val="bottom"/>
            <w:tcBorders>
              <w:top w:val="single" w:sz="8" w:color="auto"/>
            </w:tcBorders>
            <w:vMerge w:val="restart"/>
            <w:shd w:val="clear" w:color="auto" w:fill="D9E1F2"/>
          </w:tcPr>
          <w:p>
            <w:pPr>
              <w:jc w:val="center"/>
              <w:ind w:right="232"/>
              <w:spacing w:after="0"/>
              <w:rPr>
                <w:sz w:val="20"/>
                <w:szCs w:val="20"/>
                <w:color w:val="auto"/>
              </w:rPr>
            </w:pPr>
            <w:r>
              <w:rPr>
                <w:rFonts w:ascii="Arial" w:cs="Arial" w:eastAsia="Arial" w:hAnsi="Arial"/>
                <w:sz w:val="10"/>
                <w:szCs w:val="10"/>
                <w:b w:val="1"/>
                <w:bCs w:val="1"/>
                <w:color w:val="auto"/>
                <w:w w:val="88"/>
              </w:rPr>
              <w:t>Non-Qualified</w:t>
            </w:r>
          </w:p>
        </w:tc>
        <w:tc>
          <w:tcPr>
            <w:tcW w:w="1420" w:type="dxa"/>
            <w:vAlign w:val="bottom"/>
            <w:tcBorders>
              <w:top w:val="single" w:sz="8" w:color="auto"/>
            </w:tcBorders>
            <w:shd w:val="clear" w:color="auto" w:fill="D9E1F2"/>
          </w:tcPr>
          <w:p>
            <w:pPr>
              <w:spacing w:after="0"/>
              <w:rPr>
                <w:sz w:val="8"/>
                <w:szCs w:val="8"/>
                <w:color w:val="auto"/>
              </w:rPr>
            </w:pPr>
          </w:p>
        </w:tc>
        <w:tc>
          <w:tcPr>
            <w:tcW w:w="940" w:type="dxa"/>
            <w:vAlign w:val="bottom"/>
            <w:tcBorders>
              <w:top w:val="single" w:sz="8" w:color="auto"/>
              <w:right w:val="single" w:sz="8" w:color="auto"/>
            </w:tcBorders>
            <w:shd w:val="clear" w:color="auto" w:fill="D9E1F2"/>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tcBorders>
            <w:shd w:val="clear" w:color="auto" w:fill="D9E1F2"/>
          </w:tcPr>
          <w:p>
            <w:pPr>
              <w:spacing w:after="0"/>
              <w:rPr>
                <w:sz w:val="7"/>
                <w:szCs w:val="7"/>
                <w:color w:val="auto"/>
              </w:rPr>
            </w:pPr>
          </w:p>
        </w:tc>
        <w:tc>
          <w:tcPr>
            <w:tcW w:w="700" w:type="dxa"/>
            <w:vAlign w:val="bottom"/>
            <w:shd w:val="clear" w:color="auto" w:fill="D9E1F2"/>
          </w:tcPr>
          <w:p>
            <w:pPr>
              <w:spacing w:after="0"/>
              <w:rPr>
                <w:sz w:val="7"/>
                <w:szCs w:val="7"/>
                <w:color w:val="auto"/>
              </w:rPr>
            </w:pPr>
          </w:p>
        </w:tc>
        <w:tc>
          <w:tcPr>
            <w:tcW w:w="1000" w:type="dxa"/>
            <w:vAlign w:val="bottom"/>
            <w:shd w:val="clear" w:color="auto" w:fill="D9E1F2"/>
          </w:tcPr>
          <w:p>
            <w:pPr>
              <w:spacing w:after="0"/>
              <w:rPr>
                <w:sz w:val="7"/>
                <w:szCs w:val="7"/>
                <w:color w:val="auto"/>
              </w:rPr>
            </w:pPr>
          </w:p>
        </w:tc>
        <w:tc>
          <w:tcPr>
            <w:tcW w:w="1000" w:type="dxa"/>
            <w:vAlign w:val="bottom"/>
            <w:shd w:val="clear" w:color="auto" w:fill="D9E1F2"/>
          </w:tcPr>
          <w:p>
            <w:pPr>
              <w:jc w:val="center"/>
              <w:ind w:right="192"/>
              <w:spacing w:after="0" w:line="90" w:lineRule="exact"/>
              <w:rPr>
                <w:sz w:val="20"/>
                <w:szCs w:val="20"/>
                <w:color w:val="auto"/>
              </w:rPr>
            </w:pPr>
            <w:r>
              <w:rPr>
                <w:rFonts w:ascii="Arial" w:cs="Arial" w:eastAsia="Arial" w:hAnsi="Arial"/>
                <w:sz w:val="10"/>
                <w:szCs w:val="10"/>
                <w:b w:val="1"/>
                <w:bCs w:val="1"/>
                <w:color w:val="auto"/>
                <w:w w:val="93"/>
              </w:rPr>
              <w:t>Date Fair</w:t>
            </w:r>
          </w:p>
        </w:tc>
        <w:tc>
          <w:tcPr>
            <w:tcW w:w="1220" w:type="dxa"/>
            <w:vAlign w:val="bottom"/>
            <w:vMerge w:val="restart"/>
            <w:shd w:val="clear" w:color="auto" w:fill="D9E1F2"/>
          </w:tcPr>
          <w:p>
            <w:pPr>
              <w:jc w:val="right"/>
              <w:ind w:right="452"/>
              <w:spacing w:after="0"/>
              <w:rPr>
                <w:sz w:val="20"/>
                <w:szCs w:val="20"/>
                <w:color w:val="auto"/>
              </w:rPr>
            </w:pPr>
            <w:r>
              <w:rPr>
                <w:rFonts w:ascii="Arial" w:cs="Arial" w:eastAsia="Arial" w:hAnsi="Arial"/>
                <w:sz w:val="10"/>
                <w:szCs w:val="10"/>
                <w:b w:val="1"/>
                <w:bCs w:val="1"/>
                <w:color w:val="auto"/>
              </w:rPr>
              <w:t>Non-Equity</w:t>
            </w:r>
          </w:p>
        </w:tc>
        <w:tc>
          <w:tcPr>
            <w:tcW w:w="980" w:type="dxa"/>
            <w:vAlign w:val="bottom"/>
            <w:shd w:val="clear" w:color="auto" w:fill="D9E1F2"/>
          </w:tcPr>
          <w:p>
            <w:pPr>
              <w:spacing w:after="0"/>
              <w:rPr>
                <w:sz w:val="7"/>
                <w:szCs w:val="7"/>
                <w:color w:val="auto"/>
              </w:rPr>
            </w:pPr>
          </w:p>
        </w:tc>
        <w:tc>
          <w:tcPr>
            <w:tcW w:w="1220" w:type="dxa"/>
            <w:vAlign w:val="bottom"/>
            <w:vMerge w:val="continue"/>
            <w:shd w:val="clear" w:color="auto" w:fill="D9E1F2"/>
          </w:tcPr>
          <w:p>
            <w:pPr>
              <w:spacing w:after="0"/>
              <w:rPr>
                <w:sz w:val="7"/>
                <w:szCs w:val="7"/>
                <w:color w:val="auto"/>
              </w:rPr>
            </w:pPr>
          </w:p>
        </w:tc>
        <w:tc>
          <w:tcPr>
            <w:tcW w:w="1420" w:type="dxa"/>
            <w:vAlign w:val="bottom"/>
            <w:shd w:val="clear" w:color="auto" w:fill="D9E1F2"/>
          </w:tcPr>
          <w:p>
            <w:pPr>
              <w:spacing w:after="0"/>
              <w:rPr>
                <w:sz w:val="7"/>
                <w:szCs w:val="7"/>
                <w:color w:val="auto"/>
              </w:rPr>
            </w:pPr>
          </w:p>
        </w:tc>
        <w:tc>
          <w:tcPr>
            <w:tcW w:w="940" w:type="dxa"/>
            <w:vAlign w:val="bottom"/>
            <w:tcBorders>
              <w:right w:val="single" w:sz="8" w:color="auto"/>
            </w:tcBorders>
            <w:shd w:val="clear" w:color="auto" w:fill="D9E1F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tcBorders>
            <w:vMerge w:val="restart"/>
            <w:shd w:val="clear" w:color="auto" w:fill="D9E1F2"/>
          </w:tcPr>
          <w:p>
            <w:pPr>
              <w:ind w:left="20"/>
              <w:spacing w:after="0"/>
              <w:rPr>
                <w:sz w:val="20"/>
                <w:szCs w:val="20"/>
                <w:color w:val="auto"/>
              </w:rPr>
            </w:pPr>
            <w:r>
              <w:rPr>
                <w:rFonts w:ascii="Arial" w:cs="Arial" w:eastAsia="Arial" w:hAnsi="Arial"/>
                <w:sz w:val="10"/>
                <w:szCs w:val="10"/>
                <w:b w:val="1"/>
                <w:bCs w:val="1"/>
                <w:color w:val="auto"/>
              </w:rPr>
              <w:t>Name and</w:t>
            </w:r>
          </w:p>
        </w:tc>
        <w:tc>
          <w:tcPr>
            <w:tcW w:w="700" w:type="dxa"/>
            <w:vAlign w:val="bottom"/>
            <w:shd w:val="clear" w:color="auto" w:fill="D9E1F2"/>
          </w:tcPr>
          <w:p>
            <w:pPr>
              <w:spacing w:after="0"/>
              <w:rPr>
                <w:sz w:val="7"/>
                <w:szCs w:val="7"/>
                <w:color w:val="auto"/>
              </w:rPr>
            </w:pPr>
          </w:p>
        </w:tc>
        <w:tc>
          <w:tcPr>
            <w:tcW w:w="1000" w:type="dxa"/>
            <w:vAlign w:val="bottom"/>
            <w:shd w:val="clear" w:color="auto" w:fill="D9E1F2"/>
          </w:tcPr>
          <w:p>
            <w:pPr>
              <w:spacing w:after="0"/>
              <w:rPr>
                <w:sz w:val="7"/>
                <w:szCs w:val="7"/>
                <w:color w:val="auto"/>
              </w:rPr>
            </w:pPr>
          </w:p>
        </w:tc>
        <w:tc>
          <w:tcPr>
            <w:tcW w:w="1000" w:type="dxa"/>
            <w:vAlign w:val="bottom"/>
            <w:shd w:val="clear" w:color="auto" w:fill="D9E1F2"/>
          </w:tcPr>
          <w:p>
            <w:pPr>
              <w:jc w:val="center"/>
              <w:ind w:right="212"/>
              <w:spacing w:after="0" w:line="90" w:lineRule="exact"/>
              <w:rPr>
                <w:sz w:val="20"/>
                <w:szCs w:val="20"/>
                <w:color w:val="auto"/>
              </w:rPr>
            </w:pPr>
            <w:r>
              <w:rPr>
                <w:rFonts w:ascii="Arial" w:cs="Arial" w:eastAsia="Arial" w:hAnsi="Arial"/>
                <w:sz w:val="10"/>
                <w:szCs w:val="10"/>
                <w:b w:val="1"/>
                <w:bCs w:val="1"/>
                <w:color w:val="auto"/>
                <w:w w:val="87"/>
              </w:rPr>
              <w:t>Value of</w:t>
            </w:r>
          </w:p>
        </w:tc>
        <w:tc>
          <w:tcPr>
            <w:tcW w:w="1220" w:type="dxa"/>
            <w:vAlign w:val="bottom"/>
            <w:vMerge w:val="continue"/>
            <w:shd w:val="clear" w:color="auto" w:fill="D9E1F2"/>
          </w:tcPr>
          <w:p>
            <w:pPr>
              <w:spacing w:after="0"/>
              <w:rPr>
                <w:sz w:val="7"/>
                <w:szCs w:val="7"/>
                <w:color w:val="auto"/>
              </w:rPr>
            </w:pPr>
          </w:p>
        </w:tc>
        <w:tc>
          <w:tcPr>
            <w:tcW w:w="980" w:type="dxa"/>
            <w:vAlign w:val="bottom"/>
            <w:shd w:val="clear" w:color="auto" w:fill="D9E1F2"/>
          </w:tcPr>
          <w:p>
            <w:pPr>
              <w:spacing w:after="0"/>
              <w:rPr>
                <w:sz w:val="7"/>
                <w:szCs w:val="7"/>
                <w:color w:val="auto"/>
              </w:rPr>
            </w:pPr>
          </w:p>
        </w:tc>
        <w:tc>
          <w:tcPr>
            <w:tcW w:w="1220" w:type="dxa"/>
            <w:vAlign w:val="bottom"/>
            <w:shd w:val="clear" w:color="auto" w:fill="D9E1F2"/>
          </w:tcPr>
          <w:p>
            <w:pPr>
              <w:jc w:val="center"/>
              <w:ind w:right="232"/>
              <w:spacing w:after="0" w:line="90" w:lineRule="exact"/>
              <w:rPr>
                <w:sz w:val="20"/>
                <w:szCs w:val="20"/>
                <w:color w:val="auto"/>
              </w:rPr>
            </w:pPr>
            <w:r>
              <w:rPr>
                <w:rFonts w:ascii="Arial" w:cs="Arial" w:eastAsia="Arial" w:hAnsi="Arial"/>
                <w:sz w:val="10"/>
                <w:szCs w:val="10"/>
                <w:b w:val="1"/>
                <w:bCs w:val="1"/>
                <w:color w:val="auto"/>
                <w:w w:val="92"/>
              </w:rPr>
              <w:t>Deferred</w:t>
            </w:r>
          </w:p>
        </w:tc>
        <w:tc>
          <w:tcPr>
            <w:tcW w:w="1420" w:type="dxa"/>
            <w:vAlign w:val="bottom"/>
            <w:vMerge w:val="restart"/>
            <w:shd w:val="clear" w:color="auto" w:fill="D9E1F2"/>
          </w:tcPr>
          <w:p>
            <w:pPr>
              <w:jc w:val="right"/>
              <w:ind w:right="632"/>
              <w:spacing w:after="0"/>
              <w:rPr>
                <w:sz w:val="20"/>
                <w:szCs w:val="20"/>
                <w:color w:val="auto"/>
              </w:rPr>
            </w:pPr>
            <w:r>
              <w:rPr>
                <w:rFonts w:ascii="Arial" w:cs="Arial" w:eastAsia="Arial" w:hAnsi="Arial"/>
                <w:sz w:val="10"/>
                <w:szCs w:val="10"/>
                <w:b w:val="1"/>
                <w:bCs w:val="1"/>
                <w:color w:val="auto"/>
              </w:rPr>
              <w:t>All Other</w:t>
            </w:r>
          </w:p>
        </w:tc>
        <w:tc>
          <w:tcPr>
            <w:tcW w:w="940" w:type="dxa"/>
            <w:vAlign w:val="bottom"/>
            <w:tcBorders>
              <w:right w:val="single" w:sz="8" w:color="auto"/>
            </w:tcBorders>
            <w:shd w:val="clear" w:color="auto" w:fill="D9E1F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tcBorders>
            <w:vMerge w:val="continue"/>
            <w:shd w:val="clear" w:color="auto" w:fill="D9E1F2"/>
          </w:tcPr>
          <w:p>
            <w:pPr>
              <w:spacing w:after="0"/>
              <w:rPr>
                <w:sz w:val="7"/>
                <w:szCs w:val="7"/>
                <w:color w:val="auto"/>
              </w:rPr>
            </w:pPr>
          </w:p>
        </w:tc>
        <w:tc>
          <w:tcPr>
            <w:tcW w:w="700" w:type="dxa"/>
            <w:vAlign w:val="bottom"/>
            <w:vMerge w:val="restart"/>
            <w:shd w:val="clear" w:color="auto" w:fill="D9E1F2"/>
          </w:tcPr>
          <w:p>
            <w:pPr>
              <w:ind w:left="260"/>
              <w:spacing w:after="0"/>
              <w:rPr>
                <w:sz w:val="20"/>
                <w:szCs w:val="20"/>
                <w:color w:val="auto"/>
              </w:rPr>
            </w:pPr>
            <w:r>
              <w:rPr>
                <w:rFonts w:ascii="Arial" w:cs="Arial" w:eastAsia="Arial" w:hAnsi="Arial"/>
                <w:sz w:val="10"/>
                <w:szCs w:val="10"/>
                <w:b w:val="1"/>
                <w:bCs w:val="1"/>
                <w:color w:val="auto"/>
              </w:rPr>
              <w:t>Year</w:t>
            </w:r>
          </w:p>
        </w:tc>
        <w:tc>
          <w:tcPr>
            <w:tcW w:w="1000" w:type="dxa"/>
            <w:vAlign w:val="bottom"/>
            <w:vMerge w:val="restart"/>
            <w:shd w:val="clear" w:color="auto" w:fill="D9E1F2"/>
          </w:tcPr>
          <w:p>
            <w:pPr>
              <w:jc w:val="right"/>
              <w:ind w:right="372"/>
              <w:spacing w:after="0"/>
              <w:rPr>
                <w:sz w:val="20"/>
                <w:szCs w:val="20"/>
                <w:color w:val="auto"/>
              </w:rPr>
            </w:pPr>
            <w:r>
              <w:rPr>
                <w:rFonts w:ascii="Arial" w:cs="Arial" w:eastAsia="Arial" w:hAnsi="Arial"/>
                <w:sz w:val="10"/>
                <w:szCs w:val="10"/>
                <w:b w:val="1"/>
                <w:bCs w:val="1"/>
                <w:color w:val="auto"/>
              </w:rPr>
              <w:t>Salary</w:t>
            </w:r>
          </w:p>
        </w:tc>
        <w:tc>
          <w:tcPr>
            <w:tcW w:w="1000" w:type="dxa"/>
            <w:vAlign w:val="bottom"/>
            <w:shd w:val="clear" w:color="auto" w:fill="D9E1F2"/>
          </w:tcPr>
          <w:p>
            <w:pPr>
              <w:jc w:val="center"/>
              <w:ind w:right="212"/>
              <w:spacing w:after="0" w:line="90" w:lineRule="exact"/>
              <w:rPr>
                <w:sz w:val="20"/>
                <w:szCs w:val="20"/>
                <w:color w:val="auto"/>
              </w:rPr>
            </w:pPr>
            <w:r>
              <w:rPr>
                <w:rFonts w:ascii="Arial" w:cs="Arial" w:eastAsia="Arial" w:hAnsi="Arial"/>
                <w:sz w:val="10"/>
                <w:szCs w:val="10"/>
                <w:b w:val="1"/>
                <w:bCs w:val="1"/>
                <w:color w:val="auto"/>
                <w:w w:val="80"/>
              </w:rPr>
              <w:t>Stock</w:t>
            </w:r>
          </w:p>
        </w:tc>
        <w:tc>
          <w:tcPr>
            <w:tcW w:w="1220" w:type="dxa"/>
            <w:vAlign w:val="bottom"/>
            <w:shd w:val="clear" w:color="auto" w:fill="D9E1F2"/>
          </w:tcPr>
          <w:p>
            <w:pPr>
              <w:jc w:val="right"/>
              <w:ind w:right="412"/>
              <w:spacing w:after="0" w:line="90" w:lineRule="exact"/>
              <w:rPr>
                <w:sz w:val="20"/>
                <w:szCs w:val="20"/>
                <w:color w:val="auto"/>
              </w:rPr>
            </w:pPr>
            <w:r>
              <w:rPr>
                <w:rFonts w:ascii="Arial" w:cs="Arial" w:eastAsia="Arial" w:hAnsi="Arial"/>
                <w:sz w:val="10"/>
                <w:szCs w:val="10"/>
                <w:b w:val="1"/>
                <w:bCs w:val="1"/>
                <w:color w:val="auto"/>
              </w:rPr>
              <w:t>Incentive Plan</w:t>
            </w:r>
          </w:p>
        </w:tc>
        <w:tc>
          <w:tcPr>
            <w:tcW w:w="980" w:type="dxa"/>
            <w:vAlign w:val="bottom"/>
            <w:vMerge w:val="restart"/>
            <w:shd w:val="clear" w:color="auto" w:fill="D9E1F2"/>
          </w:tcPr>
          <w:p>
            <w:pPr>
              <w:jc w:val="right"/>
              <w:ind w:right="412"/>
              <w:spacing w:after="0"/>
              <w:rPr>
                <w:sz w:val="20"/>
                <w:szCs w:val="20"/>
                <w:color w:val="auto"/>
              </w:rPr>
            </w:pPr>
            <w:r>
              <w:rPr>
                <w:rFonts w:ascii="Arial" w:cs="Arial" w:eastAsia="Arial" w:hAnsi="Arial"/>
                <w:sz w:val="10"/>
                <w:szCs w:val="10"/>
                <w:b w:val="1"/>
                <w:bCs w:val="1"/>
                <w:color w:val="auto"/>
              </w:rPr>
              <w:t xml:space="preserve">Bonus </w:t>
            </w:r>
            <w:r>
              <w:rPr>
                <w:rFonts w:ascii="Arial" w:cs="Arial" w:eastAsia="Arial" w:hAnsi="Arial"/>
                <w:sz w:val="12"/>
                <w:szCs w:val="12"/>
                <w:b w:val="1"/>
                <w:bCs w:val="1"/>
                <w:color w:val="auto"/>
                <w:vertAlign w:val="superscript"/>
              </w:rPr>
              <w:t>(2)</w:t>
            </w:r>
          </w:p>
        </w:tc>
        <w:tc>
          <w:tcPr>
            <w:tcW w:w="1220" w:type="dxa"/>
            <w:vAlign w:val="bottom"/>
            <w:shd w:val="clear" w:color="auto" w:fill="D9E1F2"/>
          </w:tcPr>
          <w:p>
            <w:pPr>
              <w:jc w:val="center"/>
              <w:ind w:right="232"/>
              <w:spacing w:after="0" w:line="90" w:lineRule="exact"/>
              <w:rPr>
                <w:sz w:val="20"/>
                <w:szCs w:val="20"/>
                <w:color w:val="auto"/>
              </w:rPr>
            </w:pPr>
            <w:r>
              <w:rPr>
                <w:rFonts w:ascii="Arial" w:cs="Arial" w:eastAsia="Arial" w:hAnsi="Arial"/>
                <w:sz w:val="10"/>
                <w:szCs w:val="10"/>
                <w:b w:val="1"/>
                <w:bCs w:val="1"/>
                <w:color w:val="auto"/>
                <w:w w:val="83"/>
              </w:rPr>
              <w:t>Compensation</w:t>
            </w:r>
          </w:p>
        </w:tc>
        <w:tc>
          <w:tcPr>
            <w:tcW w:w="1420" w:type="dxa"/>
            <w:vAlign w:val="bottom"/>
            <w:vMerge w:val="continue"/>
            <w:shd w:val="clear" w:color="auto" w:fill="D9E1F2"/>
          </w:tcPr>
          <w:p>
            <w:pPr>
              <w:spacing w:after="0"/>
              <w:rPr>
                <w:sz w:val="7"/>
                <w:szCs w:val="7"/>
                <w:color w:val="auto"/>
              </w:rPr>
            </w:pPr>
          </w:p>
        </w:tc>
        <w:tc>
          <w:tcPr>
            <w:tcW w:w="940" w:type="dxa"/>
            <w:vAlign w:val="bottom"/>
            <w:tcBorders>
              <w:right w:val="single" w:sz="8" w:color="auto"/>
            </w:tcBorders>
            <w:vMerge w:val="restart"/>
            <w:shd w:val="clear" w:color="auto" w:fill="D9E1F2"/>
          </w:tcPr>
          <w:p>
            <w:pPr>
              <w:jc w:val="right"/>
              <w:ind w:right="43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0"/>
                <w:szCs w:val="10"/>
                <w:b w:val="1"/>
                <w:bCs w:val="1"/>
                <w:color w:val="auto"/>
              </w:rPr>
              <w:t>Principal Position</w:t>
            </w:r>
          </w:p>
        </w:tc>
        <w:tc>
          <w:tcPr>
            <w:tcW w:w="700" w:type="dxa"/>
            <w:vAlign w:val="bottom"/>
            <w:tcBorders>
              <w:bottom w:val="single" w:sz="8" w:color="auto"/>
            </w:tcBorders>
            <w:vMerge w:val="continue"/>
            <w:shd w:val="clear" w:color="auto" w:fill="D9E1F2"/>
          </w:tcPr>
          <w:p>
            <w:pPr>
              <w:spacing w:after="0"/>
              <w:rPr>
                <w:sz w:val="10"/>
                <w:szCs w:val="10"/>
                <w:color w:val="auto"/>
              </w:rPr>
            </w:pPr>
          </w:p>
        </w:tc>
        <w:tc>
          <w:tcPr>
            <w:tcW w:w="1000" w:type="dxa"/>
            <w:vAlign w:val="bottom"/>
            <w:tcBorders>
              <w:bottom w:val="single" w:sz="8" w:color="auto"/>
            </w:tcBorders>
            <w:vMerge w:val="continue"/>
            <w:shd w:val="clear" w:color="auto" w:fill="D9E1F2"/>
          </w:tcPr>
          <w:p>
            <w:pPr>
              <w:spacing w:after="0"/>
              <w:rPr>
                <w:sz w:val="10"/>
                <w:szCs w:val="10"/>
                <w:color w:val="auto"/>
              </w:rPr>
            </w:pPr>
          </w:p>
        </w:tc>
        <w:tc>
          <w:tcPr>
            <w:tcW w:w="1000" w:type="dxa"/>
            <w:vAlign w:val="bottom"/>
            <w:tcBorders>
              <w:bottom w:val="single" w:sz="8" w:color="auto"/>
            </w:tcBorders>
            <w:shd w:val="clear" w:color="auto" w:fill="D9E1F2"/>
          </w:tcPr>
          <w:p>
            <w:pPr>
              <w:jc w:val="center"/>
              <w:ind w:right="212"/>
              <w:spacing w:after="0" w:line="126" w:lineRule="exact"/>
              <w:rPr>
                <w:sz w:val="20"/>
                <w:szCs w:val="20"/>
                <w:color w:val="auto"/>
              </w:rPr>
            </w:pPr>
            <w:r>
              <w:rPr>
                <w:rFonts w:ascii="Arial" w:cs="Arial" w:eastAsia="Arial" w:hAnsi="Arial"/>
                <w:sz w:val="10"/>
                <w:szCs w:val="10"/>
                <w:b w:val="1"/>
                <w:bCs w:val="1"/>
                <w:color w:val="auto"/>
                <w:w w:val="82"/>
              </w:rPr>
              <w:t>Awards</w:t>
            </w:r>
            <w:r>
              <w:rPr>
                <w:rFonts w:ascii="Arial" w:cs="Arial" w:eastAsia="Arial" w:hAnsi="Arial"/>
                <w:sz w:val="12"/>
                <w:szCs w:val="12"/>
                <w:b w:val="1"/>
                <w:bCs w:val="1"/>
                <w:color w:val="auto"/>
                <w:w w:val="82"/>
                <w:vertAlign w:val="superscript"/>
              </w:rPr>
              <w:t>(1)</w:t>
            </w:r>
          </w:p>
        </w:tc>
        <w:tc>
          <w:tcPr>
            <w:tcW w:w="1220" w:type="dxa"/>
            <w:vAlign w:val="bottom"/>
            <w:tcBorders>
              <w:bottom w:val="single" w:sz="8" w:color="auto"/>
            </w:tcBorders>
            <w:shd w:val="clear" w:color="auto" w:fill="D9E1F2"/>
          </w:tcPr>
          <w:p>
            <w:pPr>
              <w:jc w:val="right"/>
              <w:ind w:right="412"/>
              <w:spacing w:after="0"/>
              <w:rPr>
                <w:sz w:val="20"/>
                <w:szCs w:val="20"/>
                <w:color w:val="auto"/>
              </w:rPr>
            </w:pPr>
            <w:r>
              <w:rPr>
                <w:rFonts w:ascii="Arial" w:cs="Arial" w:eastAsia="Arial" w:hAnsi="Arial"/>
                <w:sz w:val="10"/>
                <w:szCs w:val="10"/>
                <w:b w:val="1"/>
                <w:bCs w:val="1"/>
                <w:color w:val="auto"/>
              </w:rPr>
              <w:t>Compensation</w:t>
            </w:r>
          </w:p>
        </w:tc>
        <w:tc>
          <w:tcPr>
            <w:tcW w:w="980" w:type="dxa"/>
            <w:vAlign w:val="bottom"/>
            <w:tcBorders>
              <w:bottom w:val="single" w:sz="8" w:color="auto"/>
            </w:tcBorders>
            <w:vMerge w:val="continue"/>
            <w:shd w:val="clear" w:color="auto" w:fill="D9E1F2"/>
          </w:tcPr>
          <w:p>
            <w:pPr>
              <w:spacing w:after="0"/>
              <w:rPr>
                <w:sz w:val="10"/>
                <w:szCs w:val="10"/>
                <w:color w:val="auto"/>
              </w:rPr>
            </w:pPr>
          </w:p>
        </w:tc>
        <w:tc>
          <w:tcPr>
            <w:tcW w:w="1220" w:type="dxa"/>
            <w:vAlign w:val="bottom"/>
            <w:tcBorders>
              <w:bottom w:val="single" w:sz="8" w:color="auto"/>
            </w:tcBorders>
            <w:shd w:val="clear" w:color="auto" w:fill="D9E1F2"/>
          </w:tcPr>
          <w:p>
            <w:pPr>
              <w:jc w:val="center"/>
              <w:ind w:right="232"/>
              <w:spacing w:after="0"/>
              <w:rPr>
                <w:sz w:val="20"/>
                <w:szCs w:val="20"/>
                <w:color w:val="auto"/>
              </w:rPr>
            </w:pPr>
            <w:r>
              <w:rPr>
                <w:rFonts w:ascii="Arial" w:cs="Arial" w:eastAsia="Arial" w:hAnsi="Arial"/>
                <w:sz w:val="10"/>
                <w:szCs w:val="10"/>
                <w:b w:val="1"/>
                <w:bCs w:val="1"/>
                <w:color w:val="auto"/>
                <w:w w:val="88"/>
              </w:rPr>
              <w:t>Earnings</w:t>
            </w:r>
          </w:p>
        </w:tc>
        <w:tc>
          <w:tcPr>
            <w:tcW w:w="1420" w:type="dxa"/>
            <w:vAlign w:val="bottom"/>
            <w:tcBorders>
              <w:bottom w:val="single" w:sz="8" w:color="auto"/>
            </w:tcBorders>
            <w:shd w:val="clear" w:color="auto" w:fill="D9E1F2"/>
          </w:tcPr>
          <w:p>
            <w:pPr>
              <w:jc w:val="right"/>
              <w:ind w:right="512"/>
              <w:spacing w:after="0" w:line="126"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2"/>
                <w:szCs w:val="12"/>
                <w:b w:val="1"/>
                <w:bCs w:val="1"/>
                <w:color w:val="auto"/>
                <w:vertAlign w:val="superscript"/>
              </w:rPr>
              <w:t>(3)</w:t>
            </w:r>
          </w:p>
        </w:tc>
        <w:tc>
          <w:tcPr>
            <w:tcW w:w="940" w:type="dxa"/>
            <w:vAlign w:val="bottom"/>
            <w:tcBorders>
              <w:bottom w:val="single" w:sz="8" w:color="auto"/>
              <w:right w:val="single" w:sz="8" w:color="auto"/>
            </w:tcBorders>
            <w:vMerge w:val="continue"/>
            <w:shd w:val="clear" w:color="auto" w:fill="D9E1F2"/>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tcBorders>
          </w:tcPr>
          <w:p>
            <w:pPr>
              <w:ind w:left="20"/>
              <w:spacing w:after="0" w:line="111" w:lineRule="exact"/>
              <w:rPr>
                <w:sz w:val="20"/>
                <w:szCs w:val="20"/>
                <w:color w:val="auto"/>
              </w:rPr>
            </w:pPr>
            <w:r>
              <w:rPr>
                <w:rFonts w:ascii="Arial" w:cs="Arial" w:eastAsia="Arial" w:hAnsi="Arial"/>
                <w:sz w:val="10"/>
                <w:szCs w:val="10"/>
                <w:color w:val="auto"/>
              </w:rPr>
              <w:t>M. Jay Allison</w:t>
            </w:r>
          </w:p>
        </w:tc>
        <w:tc>
          <w:tcPr>
            <w:tcW w:w="700" w:type="dxa"/>
            <w:vAlign w:val="bottom"/>
          </w:tcPr>
          <w:p>
            <w:pPr>
              <w:ind w:left="260"/>
              <w:spacing w:after="0" w:line="111" w:lineRule="exact"/>
              <w:rPr>
                <w:sz w:val="20"/>
                <w:szCs w:val="20"/>
                <w:color w:val="auto"/>
              </w:rPr>
            </w:pPr>
            <w:r>
              <w:rPr>
                <w:rFonts w:ascii="Arial" w:cs="Arial" w:eastAsia="Arial" w:hAnsi="Arial"/>
                <w:sz w:val="10"/>
                <w:szCs w:val="10"/>
                <w:color w:val="auto"/>
              </w:rPr>
              <w:t>2020</w:t>
            </w:r>
          </w:p>
        </w:tc>
        <w:tc>
          <w:tcPr>
            <w:tcW w:w="1000" w:type="dxa"/>
            <w:vAlign w:val="bottom"/>
          </w:tcPr>
          <w:p>
            <w:pPr>
              <w:jc w:val="right"/>
              <w:ind w:right="112"/>
              <w:spacing w:after="0" w:line="111" w:lineRule="exact"/>
              <w:rPr>
                <w:sz w:val="20"/>
                <w:szCs w:val="20"/>
                <w:color w:val="auto"/>
              </w:rPr>
            </w:pPr>
            <w:r>
              <w:rPr>
                <w:rFonts w:ascii="Arial" w:cs="Arial" w:eastAsia="Arial" w:hAnsi="Arial"/>
                <w:sz w:val="10"/>
                <w:szCs w:val="10"/>
                <w:color w:val="auto"/>
              </w:rPr>
              <w:t>$840,000</w:t>
            </w:r>
          </w:p>
        </w:tc>
        <w:tc>
          <w:tcPr>
            <w:tcW w:w="1000" w:type="dxa"/>
            <w:vAlign w:val="bottom"/>
          </w:tcPr>
          <w:p>
            <w:pPr>
              <w:jc w:val="right"/>
              <w:ind w:right="132"/>
              <w:spacing w:after="0" w:line="111" w:lineRule="exact"/>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line="111" w:lineRule="exact"/>
              <w:rPr>
                <w:sz w:val="20"/>
                <w:szCs w:val="20"/>
                <w:color w:val="auto"/>
              </w:rPr>
            </w:pPr>
            <w:r>
              <w:rPr>
                <w:rFonts w:ascii="Arial" w:cs="Arial" w:eastAsia="Arial" w:hAnsi="Arial"/>
                <w:sz w:val="10"/>
                <w:szCs w:val="10"/>
                <w:color w:val="auto"/>
              </w:rPr>
              <w:t>$756,000</w:t>
            </w:r>
          </w:p>
        </w:tc>
        <w:tc>
          <w:tcPr>
            <w:tcW w:w="980" w:type="dxa"/>
            <w:vAlign w:val="bottom"/>
          </w:tcPr>
          <w:p>
            <w:pPr>
              <w:jc w:val="right"/>
              <w:ind w:right="132"/>
              <w:spacing w:after="0" w:line="111" w:lineRule="exact"/>
              <w:rPr>
                <w:sz w:val="20"/>
                <w:szCs w:val="20"/>
                <w:color w:val="auto"/>
              </w:rPr>
            </w:pPr>
            <w:r>
              <w:rPr>
                <w:rFonts w:ascii="Arial" w:cs="Arial" w:eastAsia="Arial" w:hAnsi="Arial"/>
                <w:sz w:val="10"/>
                <w:szCs w:val="10"/>
                <w:color w:val="auto"/>
              </w:rPr>
              <w:t>$2,900,000</w:t>
            </w:r>
          </w:p>
        </w:tc>
        <w:tc>
          <w:tcPr>
            <w:tcW w:w="1220" w:type="dxa"/>
            <w:vAlign w:val="bottom"/>
          </w:tcPr>
          <w:p>
            <w:pPr>
              <w:jc w:val="right"/>
              <w:ind w:right="132"/>
              <w:spacing w:after="0" w:line="111" w:lineRule="exact"/>
              <w:rPr>
                <w:sz w:val="20"/>
                <w:szCs w:val="20"/>
                <w:color w:val="auto"/>
              </w:rPr>
            </w:pPr>
            <w:r>
              <w:rPr>
                <w:rFonts w:ascii="Arial" w:cs="Arial" w:eastAsia="Arial" w:hAnsi="Arial"/>
                <w:sz w:val="10"/>
                <w:szCs w:val="10"/>
                <w:color w:val="auto"/>
              </w:rPr>
              <w:t>$597,174</w:t>
            </w:r>
          </w:p>
        </w:tc>
        <w:tc>
          <w:tcPr>
            <w:tcW w:w="1420" w:type="dxa"/>
            <w:vAlign w:val="bottom"/>
          </w:tcPr>
          <w:p>
            <w:pPr>
              <w:jc w:val="right"/>
              <w:ind w:right="192"/>
              <w:spacing w:after="0" w:line="111" w:lineRule="exact"/>
              <w:rPr>
                <w:sz w:val="20"/>
                <w:szCs w:val="20"/>
                <w:color w:val="auto"/>
              </w:rPr>
            </w:pPr>
            <w:r>
              <w:rPr>
                <w:rFonts w:ascii="Arial" w:cs="Arial" w:eastAsia="Arial" w:hAnsi="Arial"/>
                <w:sz w:val="10"/>
                <w:szCs w:val="10"/>
                <w:color w:val="auto"/>
              </w:rPr>
              <w:t>$234,370</w:t>
            </w:r>
          </w:p>
        </w:tc>
        <w:tc>
          <w:tcPr>
            <w:tcW w:w="940" w:type="dxa"/>
            <w:vAlign w:val="bottom"/>
            <w:tcBorders>
              <w:right w:val="single" w:sz="8" w:color="auto"/>
            </w:tcBorders>
          </w:tcPr>
          <w:p>
            <w:pPr>
              <w:jc w:val="right"/>
              <w:ind w:right="32"/>
              <w:spacing w:after="0" w:line="111" w:lineRule="exact"/>
              <w:rPr>
                <w:sz w:val="20"/>
                <w:szCs w:val="20"/>
                <w:color w:val="auto"/>
              </w:rPr>
            </w:pPr>
            <w:r>
              <w:rPr>
                <w:rFonts w:ascii="Arial" w:cs="Arial" w:eastAsia="Arial" w:hAnsi="Arial"/>
                <w:sz w:val="10"/>
                <w:szCs w:val="10"/>
                <w:color w:val="auto"/>
              </w:rPr>
              <w:t>$5,327,544</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i w:val="1"/>
                <w:iCs w:val="1"/>
                <w:color w:val="auto"/>
              </w:rPr>
              <w:t>Chief Executive Officer</w:t>
            </w:r>
          </w:p>
        </w:tc>
        <w:tc>
          <w:tcPr>
            <w:tcW w:w="700" w:type="dxa"/>
            <w:vAlign w:val="bottom"/>
          </w:tcPr>
          <w:p>
            <w:pPr>
              <w:ind w:left="260"/>
              <w:spacing w:after="0"/>
              <w:rPr>
                <w:sz w:val="20"/>
                <w:szCs w:val="20"/>
                <w:color w:val="auto"/>
              </w:rPr>
            </w:pPr>
            <w:r>
              <w:rPr>
                <w:rFonts w:ascii="Arial" w:cs="Arial" w:eastAsia="Arial" w:hAnsi="Arial"/>
                <w:sz w:val="10"/>
                <w:szCs w:val="10"/>
                <w:color w:val="auto"/>
              </w:rPr>
              <w:t>2019</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$825,000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$3,000,549</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$1,138,500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$2,900,000</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$663,154</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$251,186</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$8,778,389</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tcPr>
          <w:p>
            <w:pPr>
              <w:spacing w:after="0"/>
              <w:rPr>
                <w:sz w:val="11"/>
                <w:szCs w:val="11"/>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rPr>
              <w:t>2018</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$825,000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$6,145,564</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$825,000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$205,834</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$8,001,398</w:t>
            </w:r>
          </w:p>
        </w:tc>
        <w:tc>
          <w:tcPr>
            <w:tcW w:w="0" w:type="dxa"/>
            <w:vAlign w:val="bottom"/>
          </w:tcPr>
          <w:p>
            <w:pPr>
              <w:spacing w:after="0"/>
              <w:rPr>
                <w:sz w:val="1"/>
                <w:szCs w:val="1"/>
                <w:color w:val="auto"/>
              </w:rPr>
            </w:pPr>
          </w:p>
        </w:tc>
      </w:tr>
      <w:tr>
        <w:trPr>
          <w:trHeight w:val="125"/>
        </w:trPr>
        <w:tc>
          <w:tcPr>
            <w:tcW w:w="284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0"/>
                <w:szCs w:val="10"/>
                <w:color w:val="auto"/>
              </w:rPr>
              <w:t>Roland O. Burns</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2020</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$570,000</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$461,700</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$1,144,000</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$374,088</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$63,261</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$2,613,049</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shd w:val="clear" w:color="auto" w:fill="D9E1F2"/>
          </w:tcPr>
          <w:p>
            <w:pPr>
              <w:ind w:left="100"/>
              <w:spacing w:after="0"/>
              <w:rPr>
                <w:sz w:val="20"/>
                <w:szCs w:val="20"/>
                <w:color w:val="auto"/>
              </w:rPr>
            </w:pPr>
            <w:r>
              <w:rPr>
                <w:rFonts w:ascii="Arial" w:cs="Arial" w:eastAsia="Arial" w:hAnsi="Arial"/>
                <w:sz w:val="10"/>
                <w:szCs w:val="10"/>
                <w:i w:val="1"/>
                <w:iCs w:val="1"/>
                <w:color w:val="auto"/>
              </w:rPr>
              <w:t>President and Chief Financial</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2019</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$560,000</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$2,036,733</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$695,520</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$1,144,000</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$393,083</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$111,505</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$4,940,841</w:t>
            </w:r>
          </w:p>
        </w:tc>
        <w:tc>
          <w:tcPr>
            <w:tcW w:w="0" w:type="dxa"/>
            <w:vAlign w:val="bottom"/>
          </w:tcPr>
          <w:p>
            <w:pPr>
              <w:spacing w:after="0"/>
              <w:rPr>
                <w:sz w:val="1"/>
                <w:szCs w:val="1"/>
                <w:color w:val="auto"/>
              </w:rPr>
            </w:pPr>
          </w:p>
        </w:tc>
      </w:tr>
      <w:tr>
        <w:trPr>
          <w:trHeight w:val="134"/>
        </w:trPr>
        <w:tc>
          <w:tcPr>
            <w:tcW w:w="2840" w:type="dxa"/>
            <w:vAlign w:val="bottom"/>
            <w:tcBorders>
              <w:left w:val="single" w:sz="8" w:color="auto"/>
            </w:tcBorders>
            <w:shd w:val="clear" w:color="auto" w:fill="D9E1F2"/>
          </w:tcPr>
          <w:p>
            <w:pPr>
              <w:ind w:left="100"/>
              <w:spacing w:after="0"/>
              <w:rPr>
                <w:sz w:val="20"/>
                <w:szCs w:val="20"/>
                <w:color w:val="auto"/>
              </w:rPr>
            </w:pPr>
            <w:r>
              <w:rPr>
                <w:rFonts w:ascii="Arial" w:cs="Arial" w:eastAsia="Arial" w:hAnsi="Arial"/>
                <w:sz w:val="10"/>
                <w:szCs w:val="10"/>
                <w:i w:val="1"/>
                <w:iCs w:val="1"/>
                <w:color w:val="auto"/>
              </w:rPr>
              <w:t>Officer</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2018</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$560,000</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$4,171,544</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$504,000</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$127,233</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$5,362,777</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auto"/>
              </w:rPr>
              <w:t>Daniel S. Harrison</w:t>
            </w:r>
          </w:p>
        </w:tc>
        <w:tc>
          <w:tcPr>
            <w:tcW w:w="700" w:type="dxa"/>
            <w:vAlign w:val="bottom"/>
          </w:tcPr>
          <w:p>
            <w:pPr>
              <w:ind w:left="260"/>
              <w:spacing w:after="0"/>
              <w:rPr>
                <w:sz w:val="20"/>
                <w:szCs w:val="20"/>
                <w:color w:val="auto"/>
              </w:rPr>
            </w:pPr>
            <w:r>
              <w:rPr>
                <w:rFonts w:ascii="Arial" w:cs="Arial" w:eastAsia="Arial" w:hAnsi="Arial"/>
                <w:sz w:val="10"/>
                <w:szCs w:val="10"/>
                <w:color w:val="auto"/>
              </w:rPr>
              <w:t>2020</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$460,000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$1,131,192</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$331,200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$26,043</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$17,100</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$1,965,535</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i w:val="1"/>
                <w:iCs w:val="1"/>
                <w:color w:val="auto"/>
              </w:rPr>
              <w:t>Chief Operating Officer</w:t>
            </w:r>
          </w:p>
        </w:tc>
        <w:tc>
          <w:tcPr>
            <w:tcW w:w="700" w:type="dxa"/>
            <w:vAlign w:val="bottom"/>
          </w:tcPr>
          <w:p>
            <w:pPr>
              <w:ind w:left="260"/>
              <w:spacing w:after="0"/>
              <w:rPr>
                <w:sz w:val="20"/>
                <w:szCs w:val="20"/>
                <w:color w:val="auto"/>
              </w:rPr>
            </w:pPr>
            <w:r>
              <w:rPr>
                <w:rFonts w:ascii="Arial" w:cs="Arial" w:eastAsia="Arial" w:hAnsi="Arial"/>
                <w:sz w:val="10"/>
                <w:szCs w:val="10"/>
                <w:color w:val="auto"/>
              </w:rPr>
              <w:t>2019</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$390,000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$1,091,112</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$496,800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$5,055</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$16,800</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$1,999,767</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tcBorders>
          </w:tcPr>
          <w:p>
            <w:pPr>
              <w:spacing w:after="0"/>
              <w:rPr>
                <w:sz w:val="11"/>
                <w:szCs w:val="11"/>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auto"/>
              </w:rPr>
              <w:t>2018</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$336,667</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$1,412,241</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$252,000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$16,500</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$2,017,408</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0"/>
                <w:szCs w:val="10"/>
                <w:color w:val="auto"/>
              </w:rPr>
              <w:t xml:space="preserve">David J. Terry </w:t>
            </w:r>
            <w:r>
              <w:rPr>
                <w:rFonts w:ascii="Arial" w:cs="Arial" w:eastAsia="Arial" w:hAnsi="Arial"/>
                <w:sz w:val="12"/>
                <w:szCs w:val="12"/>
                <w:color w:val="auto"/>
                <w:vertAlign w:val="superscript"/>
              </w:rPr>
              <w:t>(4)</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2020</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$435,000</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$534,863</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$274,050</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$3,556</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$17,100</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$1,264,569</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tcBorders>
            <w:shd w:val="clear" w:color="auto" w:fill="D9E1F2"/>
          </w:tcPr>
          <w:p>
            <w:pPr>
              <w:ind w:left="100"/>
              <w:spacing w:after="0"/>
              <w:rPr>
                <w:sz w:val="20"/>
                <w:szCs w:val="20"/>
                <w:color w:val="auto"/>
              </w:rPr>
            </w:pPr>
            <w:r>
              <w:rPr>
                <w:rFonts w:ascii="Arial" w:cs="Arial" w:eastAsia="Arial" w:hAnsi="Arial"/>
                <w:sz w:val="10"/>
                <w:szCs w:val="10"/>
                <w:i w:val="1"/>
                <w:iCs w:val="1"/>
                <w:color w:val="auto"/>
              </w:rPr>
              <w:t>Senior Vice President of Corporate</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2019</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$194,792</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$515,242</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$205,275</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$915,309</w:t>
            </w:r>
          </w:p>
        </w:tc>
        <w:tc>
          <w:tcPr>
            <w:tcW w:w="0" w:type="dxa"/>
            <w:vAlign w:val="bottom"/>
          </w:tcPr>
          <w:p>
            <w:pPr>
              <w:spacing w:after="0"/>
              <w:rPr>
                <w:sz w:val="1"/>
                <w:szCs w:val="1"/>
                <w:color w:val="auto"/>
              </w:rPr>
            </w:pPr>
          </w:p>
        </w:tc>
      </w:tr>
      <w:tr>
        <w:trPr>
          <w:trHeight w:val="131"/>
        </w:trPr>
        <w:tc>
          <w:tcPr>
            <w:tcW w:w="2840" w:type="dxa"/>
            <w:vAlign w:val="bottom"/>
            <w:tcBorders>
              <w:left w:val="single" w:sz="8" w:color="auto"/>
            </w:tcBorders>
            <w:shd w:val="clear" w:color="auto" w:fill="D9E1F2"/>
          </w:tcPr>
          <w:p>
            <w:pPr>
              <w:ind w:left="100"/>
              <w:spacing w:after="0"/>
              <w:rPr>
                <w:sz w:val="20"/>
                <w:szCs w:val="20"/>
                <w:color w:val="auto"/>
              </w:rPr>
            </w:pPr>
            <w:r>
              <w:rPr>
                <w:rFonts w:ascii="Arial" w:cs="Arial" w:eastAsia="Arial" w:hAnsi="Arial"/>
                <w:sz w:val="10"/>
                <w:szCs w:val="10"/>
                <w:i w:val="1"/>
                <w:iCs w:val="1"/>
                <w:color w:val="auto"/>
              </w:rPr>
              <w:t>Development</w:t>
            </w:r>
          </w:p>
        </w:tc>
        <w:tc>
          <w:tcPr>
            <w:tcW w:w="700" w:type="dxa"/>
            <w:vAlign w:val="bottom"/>
            <w:shd w:val="clear" w:color="auto" w:fill="D9E1F2"/>
          </w:tcPr>
          <w:p>
            <w:pPr>
              <w:ind w:left="260"/>
              <w:spacing w:after="0"/>
              <w:rPr>
                <w:sz w:val="20"/>
                <w:szCs w:val="20"/>
                <w:color w:val="auto"/>
              </w:rPr>
            </w:pPr>
            <w:r>
              <w:rPr>
                <w:rFonts w:ascii="Arial" w:cs="Arial" w:eastAsia="Arial" w:hAnsi="Arial"/>
                <w:sz w:val="10"/>
                <w:szCs w:val="10"/>
                <w:color w:val="auto"/>
              </w:rPr>
              <w:t>2018</w:t>
            </w:r>
          </w:p>
        </w:tc>
        <w:tc>
          <w:tcPr>
            <w:tcW w:w="1000" w:type="dxa"/>
            <w:vAlign w:val="bottom"/>
            <w:shd w:val="clear" w:color="auto" w:fill="D9E1F2"/>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98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9E1F2"/>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shd w:val="clear" w:color="auto" w:fill="D9E1F2"/>
          </w:tcPr>
          <w:p>
            <w:pPr>
              <w:jc w:val="right"/>
              <w:ind w:right="192"/>
              <w:spacing w:after="0"/>
              <w:rPr>
                <w:sz w:val="20"/>
                <w:szCs w:val="20"/>
                <w:color w:val="auto"/>
              </w:rPr>
            </w:pPr>
            <w:r>
              <w:rPr>
                <w:rFonts w:ascii="Arial" w:cs="Arial" w:eastAsia="Arial" w:hAnsi="Arial"/>
                <w:sz w:val="10"/>
                <w:szCs w:val="10"/>
                <w:color w:val="auto"/>
              </w:rPr>
              <w:t>—</w:t>
            </w:r>
          </w:p>
        </w:tc>
        <w:tc>
          <w:tcPr>
            <w:tcW w:w="940" w:type="dxa"/>
            <w:vAlign w:val="bottom"/>
            <w:tcBorders>
              <w:right w:val="single" w:sz="8" w:color="auto"/>
            </w:tcBorders>
            <w:shd w:val="clear" w:color="auto" w:fill="D9E1F2"/>
          </w:tcPr>
          <w:p>
            <w:pPr>
              <w:jc w:val="right"/>
              <w:ind w:right="3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auto"/>
              </w:rPr>
              <w:t>Daniel K. Presley</w:t>
            </w:r>
          </w:p>
        </w:tc>
        <w:tc>
          <w:tcPr>
            <w:tcW w:w="700" w:type="dxa"/>
            <w:vAlign w:val="bottom"/>
          </w:tcPr>
          <w:p>
            <w:pPr>
              <w:ind w:left="260"/>
              <w:spacing w:after="0"/>
              <w:rPr>
                <w:sz w:val="20"/>
                <w:szCs w:val="20"/>
                <w:color w:val="auto"/>
              </w:rPr>
            </w:pPr>
            <w:r>
              <w:rPr>
                <w:rFonts w:ascii="Arial" w:cs="Arial" w:eastAsia="Arial" w:hAnsi="Arial"/>
                <w:sz w:val="10"/>
                <w:szCs w:val="10"/>
                <w:color w:val="auto"/>
              </w:rPr>
              <w:t>2020</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$285,000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$297,860</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$153,900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$183,983</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$17,100</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$937,843</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tcBorders>
          </w:tcPr>
          <w:p>
            <w:pPr>
              <w:ind w:left="100"/>
              <w:spacing w:after="0"/>
              <w:rPr>
                <w:sz w:val="20"/>
                <w:szCs w:val="20"/>
                <w:color w:val="auto"/>
              </w:rPr>
            </w:pPr>
            <w:r>
              <w:rPr>
                <w:rFonts w:ascii="Arial" w:cs="Arial" w:eastAsia="Arial" w:hAnsi="Arial"/>
                <w:sz w:val="10"/>
                <w:szCs w:val="10"/>
                <w:i w:val="1"/>
                <w:iCs w:val="1"/>
                <w:color w:val="auto"/>
              </w:rPr>
              <w:t>Vice President of Accounting</w:t>
            </w:r>
          </w:p>
        </w:tc>
        <w:tc>
          <w:tcPr>
            <w:tcW w:w="700" w:type="dxa"/>
            <w:vAlign w:val="bottom"/>
          </w:tcPr>
          <w:p>
            <w:pPr>
              <w:ind w:left="260"/>
              <w:spacing w:after="0"/>
              <w:rPr>
                <w:sz w:val="20"/>
                <w:szCs w:val="20"/>
                <w:color w:val="auto"/>
              </w:rPr>
            </w:pPr>
            <w:r>
              <w:rPr>
                <w:rFonts w:ascii="Arial" w:cs="Arial" w:eastAsia="Arial" w:hAnsi="Arial"/>
                <w:sz w:val="10"/>
                <w:szCs w:val="10"/>
                <w:color w:val="auto"/>
              </w:rPr>
              <w:t>2019</w:t>
            </w:r>
          </w:p>
        </w:tc>
        <w:tc>
          <w:tcPr>
            <w:tcW w:w="1000" w:type="dxa"/>
            <w:vAlign w:val="bottom"/>
          </w:tcPr>
          <w:p>
            <w:pPr>
              <w:jc w:val="right"/>
              <w:ind w:right="112"/>
              <w:spacing w:after="0"/>
              <w:rPr>
                <w:sz w:val="20"/>
                <w:szCs w:val="20"/>
                <w:color w:val="auto"/>
              </w:rPr>
            </w:pPr>
            <w:r>
              <w:rPr>
                <w:rFonts w:ascii="Arial" w:cs="Arial" w:eastAsia="Arial" w:hAnsi="Arial"/>
                <w:sz w:val="10"/>
                <w:szCs w:val="10"/>
                <w:color w:val="auto"/>
              </w:rPr>
              <w:t>$265,000</w:t>
            </w:r>
          </w:p>
        </w:tc>
        <w:tc>
          <w:tcPr>
            <w:tcW w:w="1000" w:type="dxa"/>
            <w:vAlign w:val="bottom"/>
          </w:tcPr>
          <w:p>
            <w:pPr>
              <w:jc w:val="right"/>
              <w:ind w:right="132"/>
              <w:spacing w:after="0"/>
              <w:rPr>
                <w:sz w:val="20"/>
                <w:szCs w:val="20"/>
                <w:color w:val="auto"/>
              </w:rPr>
            </w:pPr>
            <w:r>
              <w:rPr>
                <w:rFonts w:ascii="Arial" w:cs="Arial" w:eastAsia="Arial" w:hAnsi="Arial"/>
                <w:sz w:val="10"/>
                <w:szCs w:val="10"/>
                <w:color w:val="auto"/>
              </w:rPr>
              <w:t>$283,379</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$227,700</w:t>
            </w:r>
          </w:p>
        </w:tc>
        <w:tc>
          <w:tcPr>
            <w:tcW w:w="9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132"/>
              <w:spacing w:after="0"/>
              <w:rPr>
                <w:sz w:val="20"/>
                <w:szCs w:val="20"/>
                <w:color w:val="auto"/>
              </w:rPr>
            </w:pPr>
            <w:r>
              <w:rPr>
                <w:rFonts w:ascii="Arial" w:cs="Arial" w:eastAsia="Arial" w:hAnsi="Arial"/>
                <w:sz w:val="10"/>
                <w:szCs w:val="10"/>
                <w:color w:val="auto"/>
              </w:rPr>
              <w:t>$137,946</w:t>
            </w:r>
          </w:p>
        </w:tc>
        <w:tc>
          <w:tcPr>
            <w:tcW w:w="1420" w:type="dxa"/>
            <w:vAlign w:val="bottom"/>
          </w:tcPr>
          <w:p>
            <w:pPr>
              <w:jc w:val="right"/>
              <w:ind w:right="192"/>
              <w:spacing w:after="0"/>
              <w:rPr>
                <w:sz w:val="20"/>
                <w:szCs w:val="20"/>
                <w:color w:val="auto"/>
              </w:rPr>
            </w:pPr>
            <w:r>
              <w:rPr>
                <w:rFonts w:ascii="Arial" w:cs="Arial" w:eastAsia="Arial" w:hAnsi="Arial"/>
                <w:sz w:val="10"/>
                <w:szCs w:val="10"/>
                <w:color w:val="auto"/>
              </w:rPr>
              <w:t>$16,800</w:t>
            </w: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color w:val="auto"/>
              </w:rPr>
              <w:t>$930,825</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0"/>
                <w:szCs w:val="10"/>
                <w:color w:val="auto"/>
              </w:rPr>
              <w:t>2018</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$260,000</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$484,203</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$156,000</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$16,500</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$916,703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8"/>
          <w:szCs w:val="8"/>
          <w:i w:val="1"/>
          <w:iCs w:val="1"/>
          <w:color w:val="auto"/>
        </w:rPr>
      </w:pPr>
      <w:r>
        <w:rPr>
          <w:rFonts w:ascii="Arial" w:cs="Arial" w:eastAsia="Arial" w:hAnsi="Arial"/>
          <w:sz w:val="8"/>
          <w:szCs w:val="8"/>
          <w:i w:val="1"/>
          <w:iCs w:val="1"/>
          <w:color w:val="auto"/>
        </w:rPr>
        <w:t>The amounts in this column represent the aggregate grant date fair value of restricted stock grants and grants of PSUs.</w:t>
      </w:r>
    </w:p>
    <w:p>
      <w:pPr>
        <w:spacing w:after="0" w:line="34" w:lineRule="exact"/>
        <w:rPr>
          <w:rFonts w:ascii="Arial" w:cs="Arial" w:eastAsia="Arial" w:hAnsi="Arial"/>
          <w:sz w:val="8"/>
          <w:szCs w:val="8"/>
          <w:i w:val="1"/>
          <w:iCs w:val="1"/>
          <w:color w:val="auto"/>
        </w:rPr>
      </w:pPr>
    </w:p>
    <w:p>
      <w:pPr>
        <w:ind w:left="208" w:hanging="208"/>
        <w:spacing w:after="0"/>
        <w:tabs>
          <w:tab w:leader="none" w:pos="208" w:val="left"/>
        </w:tabs>
        <w:numPr>
          <w:ilvl w:val="0"/>
          <w:numId w:val="26"/>
        </w:numPr>
        <w:rPr>
          <w:rFonts w:ascii="Arial" w:cs="Arial" w:eastAsia="Arial" w:hAnsi="Arial"/>
          <w:sz w:val="8"/>
          <w:szCs w:val="8"/>
          <w:i w:val="1"/>
          <w:iCs w:val="1"/>
          <w:color w:val="auto"/>
        </w:rPr>
      </w:pPr>
      <w:r>
        <w:rPr>
          <w:rFonts w:ascii="Arial" w:cs="Arial" w:eastAsia="Arial" w:hAnsi="Arial"/>
          <w:sz w:val="8"/>
          <w:szCs w:val="8"/>
          <w:i w:val="1"/>
          <w:iCs w:val="1"/>
          <w:color w:val="auto"/>
        </w:rPr>
        <w:t>Represents payment of retention bonus resulting from 2018 change in control of the Company. Additional information is provided in the section "Potential Payments Upon Termination."</w:t>
      </w:r>
    </w:p>
    <w:p>
      <w:pPr>
        <w:spacing w:after="0" w:line="34" w:lineRule="exact"/>
        <w:rPr>
          <w:rFonts w:ascii="Arial" w:cs="Arial" w:eastAsia="Arial" w:hAnsi="Arial"/>
          <w:sz w:val="8"/>
          <w:szCs w:val="8"/>
          <w:i w:val="1"/>
          <w:iCs w:val="1"/>
          <w:color w:val="auto"/>
        </w:rPr>
      </w:pPr>
    </w:p>
    <w:p>
      <w:pPr>
        <w:jc w:val="both"/>
        <w:ind w:left="208" w:right="40" w:hanging="208"/>
        <w:spacing w:after="0" w:line="273" w:lineRule="auto"/>
        <w:tabs>
          <w:tab w:leader="none" w:pos="207" w:val="left"/>
        </w:tabs>
        <w:numPr>
          <w:ilvl w:val="0"/>
          <w:numId w:val="26"/>
        </w:numPr>
        <w:rPr>
          <w:rFonts w:ascii="Arial" w:cs="Arial" w:eastAsia="Arial" w:hAnsi="Arial"/>
          <w:sz w:val="8"/>
          <w:szCs w:val="8"/>
          <w:i w:val="1"/>
          <w:iCs w:val="1"/>
          <w:color w:val="auto"/>
        </w:rPr>
      </w:pPr>
      <w:r>
        <w:rPr>
          <w:rFonts w:ascii="Arial" w:cs="Arial" w:eastAsia="Arial" w:hAnsi="Arial"/>
          <w:sz w:val="8"/>
          <w:szCs w:val="8"/>
          <w:i w:val="1"/>
          <w:iCs w:val="1"/>
          <w:color w:val="auto"/>
        </w:rPr>
        <w:t>All other compensation includes the Company matching contributions under our 401(k) Profit Sharing Plan for each executive officer. In addition, Mr. Allison’s other compensation includes life insurance premiums of $101,031 for each of 2020, 2019 and 2018 and $92,385, $113,308, and $70,274 for the Company's incremental costs for personal aircraft use for 2020, 2019 and 2018, respectively. Mr. Burns' other compensation includes life insurance premiums of $31,460 for each of 2020, 2019 and 2018 and $14,701, $63,245, and $79,273 for the Company's incremental costs for personal aircraft use for 2020, 2019 and 2018, respectively. Except for these amounts, perquisites provided by us to executive officers did not exceed $10,000 for 2020, 2019 and 2018 and they are accordingly excluded from this table.</w:t>
      </w:r>
    </w:p>
    <w:p>
      <w:pPr>
        <w:spacing w:after="0" w:line="1" w:lineRule="exact"/>
        <w:rPr>
          <w:rFonts w:ascii="Arial" w:cs="Arial" w:eastAsia="Arial" w:hAnsi="Arial"/>
          <w:sz w:val="8"/>
          <w:szCs w:val="8"/>
          <w:i w:val="1"/>
          <w:iCs w:val="1"/>
          <w:color w:val="auto"/>
        </w:rPr>
      </w:pPr>
    </w:p>
    <w:p>
      <w:pPr>
        <w:ind w:left="208" w:hanging="208"/>
        <w:spacing w:after="0"/>
        <w:tabs>
          <w:tab w:leader="none" w:pos="208" w:val="left"/>
        </w:tabs>
        <w:numPr>
          <w:ilvl w:val="0"/>
          <w:numId w:val="26"/>
        </w:numPr>
        <w:rPr>
          <w:rFonts w:ascii="Arial" w:cs="Arial" w:eastAsia="Arial" w:hAnsi="Arial"/>
          <w:sz w:val="8"/>
          <w:szCs w:val="8"/>
          <w:i w:val="1"/>
          <w:iCs w:val="1"/>
          <w:color w:val="auto"/>
        </w:rPr>
      </w:pPr>
      <w:r>
        <w:rPr>
          <w:rFonts w:ascii="Arial" w:cs="Arial" w:eastAsia="Arial" w:hAnsi="Arial"/>
          <w:sz w:val="8"/>
          <w:szCs w:val="8"/>
          <w:i w:val="1"/>
          <w:iCs w:val="1"/>
          <w:color w:val="auto"/>
        </w:rPr>
        <w:t>Mr. Terry was appointed as Senior Vice President of Corporate Development in July 2019.</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8"/>
          </w:cols>
          <w:pgMar w:left="292" w:top="131" w:right="299" w:bottom="1440" w:gutter="0" w:footer="0" w:header="0"/>
        </w:sectPr>
      </w:pPr>
    </w:p>
    <w:bookmarkStart w:id="35" w:name="page36"/>
    <w:bookmarkEnd w:id="35"/>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Grants of Plan-Based Awards in 2020</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In 2020, the compensation committee made the following awards under the Annual Incentive Plan to the NEOs:</w:t>
      </w:r>
    </w:p>
    <w:p>
      <w:pPr>
        <w:spacing w:after="0" w:line="120" w:lineRule="exact"/>
        <w:rPr>
          <w:sz w:val="20"/>
          <w:szCs w:val="20"/>
          <w:color w:val="auto"/>
        </w:rPr>
      </w:pPr>
    </w:p>
    <w:tbl>
      <w:tblPr>
        <w:tblLayout w:type="fixed"/>
        <w:tblInd w:w="18" w:type="dxa"/>
        <w:tblCellMar>
          <w:top w:w="0" w:type="dxa"/>
          <w:left w:w="0" w:type="dxa"/>
          <w:bottom w:w="0" w:type="dxa"/>
          <w:right w:w="0" w:type="dxa"/>
        </w:tblCellMar>
      </w:tblPr>
      <w:tr>
        <w:trPr>
          <w:trHeight w:val="117"/>
        </w:trPr>
        <w:tc>
          <w:tcPr>
            <w:tcW w:w="7980" w:type="dxa"/>
            <w:vAlign w:val="bottom"/>
            <w:tcBorders>
              <w:top w:val="single" w:sz="8" w:color="auto"/>
              <w:left w:val="single" w:sz="8" w:color="auto"/>
            </w:tcBorders>
            <w:shd w:val="clear" w:color="auto" w:fill="D9E1F2"/>
          </w:tcPr>
          <w:p>
            <w:pPr>
              <w:spacing w:after="0"/>
              <w:rPr>
                <w:sz w:val="10"/>
                <w:szCs w:val="10"/>
                <w:color w:val="auto"/>
              </w:rPr>
            </w:pPr>
          </w:p>
        </w:tc>
        <w:tc>
          <w:tcPr>
            <w:tcW w:w="2500" w:type="dxa"/>
            <w:vAlign w:val="bottom"/>
            <w:tcBorders>
              <w:top w:val="single" w:sz="8" w:color="auto"/>
            </w:tcBorders>
            <w:gridSpan w:val="2"/>
            <w:shd w:val="clear" w:color="auto" w:fill="D9E1F2"/>
          </w:tcPr>
          <w:p>
            <w:pPr>
              <w:jc w:val="center"/>
              <w:ind w:left="762"/>
              <w:spacing w:after="0" w:line="117" w:lineRule="exact"/>
              <w:rPr>
                <w:sz w:val="20"/>
                <w:szCs w:val="20"/>
                <w:color w:val="auto"/>
              </w:rPr>
            </w:pPr>
            <w:r>
              <w:rPr>
                <w:rFonts w:ascii="Arial" w:cs="Arial" w:eastAsia="Arial" w:hAnsi="Arial"/>
                <w:sz w:val="11"/>
                <w:szCs w:val="11"/>
                <w:b w:val="1"/>
                <w:bCs w:val="1"/>
                <w:color w:val="auto"/>
                <w:w w:val="89"/>
              </w:rPr>
              <w:t>Estimated Future Payouts Under</w:t>
            </w:r>
          </w:p>
        </w:tc>
        <w:tc>
          <w:tcPr>
            <w:tcW w:w="840" w:type="dxa"/>
            <w:vAlign w:val="bottom"/>
            <w:tcBorders>
              <w:top w:val="single" w:sz="8" w:color="auto"/>
              <w:right w:val="single" w:sz="8" w:color="auto"/>
            </w:tcBorders>
            <w:shd w:val="clear" w:color="auto" w:fill="D9E1F2"/>
          </w:tcPr>
          <w:p>
            <w:pPr>
              <w:spacing w:after="0"/>
              <w:rPr>
                <w:sz w:val="10"/>
                <w:szCs w:val="10"/>
                <w:color w:val="auto"/>
              </w:rPr>
            </w:pPr>
          </w:p>
        </w:tc>
      </w:tr>
      <w:tr>
        <w:trPr>
          <w:trHeight w:val="140"/>
        </w:trPr>
        <w:tc>
          <w:tcPr>
            <w:tcW w:w="7980" w:type="dxa"/>
            <w:vAlign w:val="bottom"/>
            <w:tcBorders>
              <w:left w:val="single" w:sz="8" w:color="auto"/>
              <w:bottom w:val="single" w:sz="8" w:color="D9E1F2"/>
            </w:tcBorders>
            <w:shd w:val="clear" w:color="auto" w:fill="D9E1F2"/>
          </w:tcPr>
          <w:p>
            <w:pPr>
              <w:spacing w:after="0"/>
              <w:rPr>
                <w:sz w:val="12"/>
                <w:szCs w:val="12"/>
                <w:color w:val="auto"/>
              </w:rPr>
            </w:pPr>
          </w:p>
        </w:tc>
        <w:tc>
          <w:tcPr>
            <w:tcW w:w="2500" w:type="dxa"/>
            <w:vAlign w:val="bottom"/>
            <w:tcBorders>
              <w:bottom w:val="single" w:sz="8" w:color="auto"/>
            </w:tcBorders>
            <w:gridSpan w:val="2"/>
            <w:shd w:val="clear" w:color="auto" w:fill="D9E1F2"/>
          </w:tcPr>
          <w:p>
            <w:pPr>
              <w:jc w:val="center"/>
              <w:ind w:left="762"/>
              <w:spacing w:after="0"/>
              <w:rPr>
                <w:sz w:val="20"/>
                <w:szCs w:val="20"/>
                <w:color w:val="auto"/>
              </w:rPr>
            </w:pPr>
            <w:r>
              <w:rPr>
                <w:rFonts w:ascii="Arial" w:cs="Arial" w:eastAsia="Arial" w:hAnsi="Arial"/>
                <w:sz w:val="11"/>
                <w:szCs w:val="11"/>
                <w:b w:val="1"/>
                <w:bCs w:val="1"/>
                <w:color w:val="auto"/>
                <w:w w:val="89"/>
              </w:rPr>
              <w:t>Non-Equity Incentive Plan Awards</w:t>
            </w:r>
          </w:p>
        </w:tc>
        <w:tc>
          <w:tcPr>
            <w:tcW w:w="840" w:type="dxa"/>
            <w:vAlign w:val="bottom"/>
            <w:tcBorders>
              <w:bottom w:val="single" w:sz="8" w:color="auto"/>
              <w:right w:val="single" w:sz="8" w:color="auto"/>
            </w:tcBorders>
            <w:shd w:val="clear" w:color="auto" w:fill="D9E1F2"/>
          </w:tcPr>
          <w:p>
            <w:pPr>
              <w:spacing w:after="0"/>
              <w:rPr>
                <w:sz w:val="12"/>
                <w:szCs w:val="12"/>
                <w:color w:val="auto"/>
              </w:rPr>
            </w:pPr>
          </w:p>
        </w:tc>
      </w:tr>
      <w:tr>
        <w:trPr>
          <w:trHeight w:val="135"/>
        </w:trPr>
        <w:tc>
          <w:tcPr>
            <w:tcW w:w="7980" w:type="dxa"/>
            <w:vAlign w:val="bottom"/>
            <w:tcBorders>
              <w:left w:val="single" w:sz="8" w:color="auto"/>
              <w:bottom w:val="single" w:sz="8" w:color="auto"/>
            </w:tcBorders>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280" w:type="dxa"/>
            <w:vAlign w:val="bottom"/>
            <w:tcBorders>
              <w:bottom w:val="single" w:sz="8" w:color="auto"/>
            </w:tcBorders>
            <w:shd w:val="clear" w:color="auto" w:fill="D9E1F2"/>
          </w:tcPr>
          <w:p>
            <w:pPr>
              <w:jc w:val="right"/>
              <w:ind w:right="442"/>
              <w:spacing w:after="0"/>
              <w:rPr>
                <w:sz w:val="20"/>
                <w:szCs w:val="20"/>
                <w:color w:val="auto"/>
              </w:rPr>
            </w:pPr>
            <w:r>
              <w:rPr>
                <w:rFonts w:ascii="Arial" w:cs="Arial" w:eastAsia="Arial" w:hAnsi="Arial"/>
                <w:sz w:val="11"/>
                <w:szCs w:val="11"/>
                <w:b w:val="1"/>
                <w:bCs w:val="1"/>
                <w:color w:val="auto"/>
              </w:rPr>
              <w:t>Threshold</w:t>
            </w:r>
          </w:p>
        </w:tc>
        <w:tc>
          <w:tcPr>
            <w:tcW w:w="1220" w:type="dxa"/>
            <w:vAlign w:val="bottom"/>
            <w:tcBorders>
              <w:bottom w:val="single" w:sz="8" w:color="auto"/>
            </w:tcBorders>
            <w:shd w:val="clear" w:color="auto" w:fill="D9E1F2"/>
          </w:tcPr>
          <w:p>
            <w:pPr>
              <w:jc w:val="center"/>
              <w:ind w:right="421"/>
              <w:spacing w:after="0"/>
              <w:rPr>
                <w:sz w:val="20"/>
                <w:szCs w:val="20"/>
                <w:color w:val="auto"/>
              </w:rPr>
            </w:pPr>
            <w:r>
              <w:rPr>
                <w:rFonts w:ascii="Arial" w:cs="Arial" w:eastAsia="Arial" w:hAnsi="Arial"/>
                <w:sz w:val="11"/>
                <w:szCs w:val="11"/>
                <w:b w:val="1"/>
                <w:bCs w:val="1"/>
                <w:color w:val="auto"/>
                <w:w w:val="89"/>
              </w:rPr>
              <w:t>Target</w:t>
            </w:r>
          </w:p>
        </w:tc>
        <w:tc>
          <w:tcPr>
            <w:tcW w:w="840" w:type="dxa"/>
            <w:vAlign w:val="bottom"/>
            <w:tcBorders>
              <w:bottom w:val="single" w:sz="8" w:color="auto"/>
              <w:right w:val="single" w:sz="8" w:color="auto"/>
            </w:tcBorders>
            <w:shd w:val="clear" w:color="auto" w:fill="D9E1F2"/>
          </w:tcPr>
          <w:p>
            <w:pPr>
              <w:jc w:val="right"/>
              <w:ind w:right="281"/>
              <w:spacing w:after="0"/>
              <w:rPr>
                <w:sz w:val="20"/>
                <w:szCs w:val="20"/>
                <w:color w:val="auto"/>
              </w:rPr>
            </w:pPr>
            <w:r>
              <w:rPr>
                <w:rFonts w:ascii="Arial" w:cs="Arial" w:eastAsia="Arial" w:hAnsi="Arial"/>
                <w:sz w:val="11"/>
                <w:szCs w:val="11"/>
                <w:b w:val="1"/>
                <w:bCs w:val="1"/>
                <w:color w:val="auto"/>
                <w:w w:val="94"/>
              </w:rPr>
              <w:t>Maximum</w:t>
            </w:r>
          </w:p>
        </w:tc>
      </w:tr>
      <w:tr>
        <w:trPr>
          <w:trHeight w:val="144"/>
        </w:trPr>
        <w:tc>
          <w:tcPr>
            <w:tcW w:w="79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M. Jay Allison</w:t>
            </w:r>
          </w:p>
        </w:tc>
        <w:tc>
          <w:tcPr>
            <w:tcW w:w="1280" w:type="dxa"/>
            <w:vAlign w:val="bottom"/>
          </w:tcPr>
          <w:p>
            <w:pPr>
              <w:jc w:val="right"/>
              <w:ind w:right="162"/>
              <w:spacing w:after="0"/>
              <w:rPr>
                <w:sz w:val="20"/>
                <w:szCs w:val="20"/>
                <w:color w:val="auto"/>
              </w:rPr>
            </w:pPr>
            <w:r>
              <w:rPr>
                <w:rFonts w:ascii="Arial" w:cs="Arial" w:eastAsia="Arial" w:hAnsi="Arial"/>
                <w:sz w:val="12"/>
                <w:szCs w:val="12"/>
                <w:color w:val="auto"/>
              </w:rPr>
              <w:t>$420,000</w:t>
            </w:r>
          </w:p>
        </w:tc>
        <w:tc>
          <w:tcPr>
            <w:tcW w:w="1220" w:type="dxa"/>
            <w:vAlign w:val="bottom"/>
          </w:tcPr>
          <w:p>
            <w:pPr>
              <w:jc w:val="right"/>
              <w:ind w:right="281"/>
              <w:spacing w:after="0"/>
              <w:rPr>
                <w:sz w:val="20"/>
                <w:szCs w:val="20"/>
                <w:color w:val="auto"/>
              </w:rPr>
            </w:pPr>
            <w:r>
              <w:rPr>
                <w:rFonts w:ascii="Arial" w:cs="Arial" w:eastAsia="Arial" w:hAnsi="Arial"/>
                <w:sz w:val="12"/>
                <w:szCs w:val="12"/>
                <w:color w:val="auto"/>
              </w:rPr>
              <w:t>$840,000</w:t>
            </w:r>
          </w:p>
        </w:tc>
        <w:tc>
          <w:tcPr>
            <w:tcW w:w="84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$1,680,000</w:t>
            </w:r>
          </w:p>
        </w:tc>
      </w:tr>
      <w:tr>
        <w:trPr>
          <w:trHeight w:val="147"/>
        </w:trPr>
        <w:tc>
          <w:tcPr>
            <w:tcW w:w="798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59"/>
        </w:trPr>
        <w:tc>
          <w:tcPr>
            <w:tcW w:w="79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280" w:type="dxa"/>
            <w:vAlign w:val="bottom"/>
            <w:shd w:val="clear" w:color="auto" w:fill="D9E1F2"/>
          </w:tcPr>
          <w:p>
            <w:pPr>
              <w:jc w:val="right"/>
              <w:ind w:right="162"/>
              <w:spacing w:after="0"/>
              <w:rPr>
                <w:sz w:val="20"/>
                <w:szCs w:val="20"/>
                <w:color w:val="auto"/>
              </w:rPr>
            </w:pPr>
            <w:r>
              <w:rPr>
                <w:rFonts w:ascii="Arial" w:cs="Arial" w:eastAsia="Arial" w:hAnsi="Arial"/>
                <w:sz w:val="12"/>
                <w:szCs w:val="12"/>
                <w:color w:val="auto"/>
              </w:rPr>
              <w:t>$256,500</w:t>
            </w:r>
          </w:p>
        </w:tc>
        <w:tc>
          <w:tcPr>
            <w:tcW w:w="1220" w:type="dxa"/>
            <w:vAlign w:val="bottom"/>
            <w:shd w:val="clear" w:color="auto" w:fill="D9E1F2"/>
          </w:tcPr>
          <w:p>
            <w:pPr>
              <w:jc w:val="right"/>
              <w:ind w:right="281"/>
              <w:spacing w:after="0"/>
              <w:rPr>
                <w:sz w:val="20"/>
                <w:szCs w:val="20"/>
                <w:color w:val="auto"/>
              </w:rPr>
            </w:pPr>
            <w:r>
              <w:rPr>
                <w:rFonts w:ascii="Arial" w:cs="Arial" w:eastAsia="Arial" w:hAnsi="Arial"/>
                <w:sz w:val="12"/>
                <w:szCs w:val="12"/>
                <w:color w:val="auto"/>
              </w:rPr>
              <w:t>$513,000</w:t>
            </w:r>
          </w:p>
        </w:tc>
        <w:tc>
          <w:tcPr>
            <w:tcW w:w="840" w:type="dxa"/>
            <w:vAlign w:val="bottom"/>
            <w:tcBorders>
              <w:right w:val="single" w:sz="8" w:color="auto"/>
            </w:tcBorders>
            <w:shd w:val="clear" w:color="auto" w:fill="D9E1F2"/>
          </w:tcPr>
          <w:p>
            <w:pPr>
              <w:jc w:val="right"/>
              <w:ind w:right="21"/>
              <w:spacing w:after="0"/>
              <w:rPr>
                <w:sz w:val="20"/>
                <w:szCs w:val="20"/>
                <w:color w:val="auto"/>
              </w:rPr>
            </w:pPr>
            <w:r>
              <w:rPr>
                <w:rFonts w:ascii="Arial" w:cs="Arial" w:eastAsia="Arial" w:hAnsi="Arial"/>
                <w:sz w:val="12"/>
                <w:szCs w:val="12"/>
                <w:color w:val="auto"/>
              </w:rPr>
              <w:t>$1,026,000</w:t>
            </w:r>
          </w:p>
        </w:tc>
      </w:tr>
      <w:tr>
        <w:trPr>
          <w:trHeight w:val="153"/>
        </w:trPr>
        <w:tc>
          <w:tcPr>
            <w:tcW w:w="798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280" w:type="dxa"/>
            <w:vAlign w:val="bottom"/>
            <w:shd w:val="clear" w:color="auto" w:fill="D9E1F2"/>
          </w:tcPr>
          <w:p>
            <w:pPr>
              <w:spacing w:after="0"/>
              <w:rPr>
                <w:sz w:val="13"/>
                <w:szCs w:val="13"/>
                <w:color w:val="auto"/>
              </w:rPr>
            </w:pPr>
          </w:p>
        </w:tc>
        <w:tc>
          <w:tcPr>
            <w:tcW w:w="1220" w:type="dxa"/>
            <w:vAlign w:val="bottom"/>
            <w:shd w:val="clear" w:color="auto" w:fill="D9E1F2"/>
          </w:tcPr>
          <w:p>
            <w:pPr>
              <w:spacing w:after="0"/>
              <w:rPr>
                <w:sz w:val="13"/>
                <w:szCs w:val="13"/>
                <w:color w:val="auto"/>
              </w:rPr>
            </w:pPr>
          </w:p>
        </w:tc>
        <w:tc>
          <w:tcPr>
            <w:tcW w:w="840" w:type="dxa"/>
            <w:vAlign w:val="bottom"/>
            <w:tcBorders>
              <w:right w:val="single" w:sz="8" w:color="auto"/>
            </w:tcBorders>
            <w:shd w:val="clear" w:color="auto" w:fill="D9E1F2"/>
          </w:tcPr>
          <w:p>
            <w:pPr>
              <w:spacing w:after="0"/>
              <w:rPr>
                <w:sz w:val="13"/>
                <w:szCs w:val="13"/>
                <w:color w:val="auto"/>
              </w:rPr>
            </w:pPr>
          </w:p>
        </w:tc>
      </w:tr>
      <w:tr>
        <w:trPr>
          <w:trHeight w:val="153"/>
        </w:trPr>
        <w:tc>
          <w:tcPr>
            <w:tcW w:w="79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S. Harrison</w:t>
            </w:r>
          </w:p>
        </w:tc>
        <w:tc>
          <w:tcPr>
            <w:tcW w:w="1280" w:type="dxa"/>
            <w:vAlign w:val="bottom"/>
          </w:tcPr>
          <w:p>
            <w:pPr>
              <w:jc w:val="right"/>
              <w:ind w:right="162"/>
              <w:spacing w:after="0"/>
              <w:rPr>
                <w:sz w:val="20"/>
                <w:szCs w:val="20"/>
                <w:color w:val="auto"/>
              </w:rPr>
            </w:pPr>
            <w:r>
              <w:rPr>
                <w:rFonts w:ascii="Arial" w:cs="Arial" w:eastAsia="Arial" w:hAnsi="Arial"/>
                <w:sz w:val="12"/>
                <w:szCs w:val="12"/>
                <w:color w:val="auto"/>
              </w:rPr>
              <w:t>$184,000</w:t>
            </w:r>
          </w:p>
        </w:tc>
        <w:tc>
          <w:tcPr>
            <w:tcW w:w="1220" w:type="dxa"/>
            <w:vAlign w:val="bottom"/>
          </w:tcPr>
          <w:p>
            <w:pPr>
              <w:jc w:val="right"/>
              <w:ind w:right="281"/>
              <w:spacing w:after="0"/>
              <w:rPr>
                <w:sz w:val="20"/>
                <w:szCs w:val="20"/>
                <w:color w:val="auto"/>
              </w:rPr>
            </w:pPr>
            <w:r>
              <w:rPr>
                <w:rFonts w:ascii="Arial" w:cs="Arial" w:eastAsia="Arial" w:hAnsi="Arial"/>
                <w:sz w:val="12"/>
                <w:szCs w:val="12"/>
                <w:color w:val="auto"/>
              </w:rPr>
              <w:t>$368,000</w:t>
            </w:r>
          </w:p>
        </w:tc>
        <w:tc>
          <w:tcPr>
            <w:tcW w:w="84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$736,000</w:t>
            </w:r>
          </w:p>
        </w:tc>
      </w:tr>
      <w:tr>
        <w:trPr>
          <w:trHeight w:val="147"/>
        </w:trPr>
        <w:tc>
          <w:tcPr>
            <w:tcW w:w="798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59"/>
        </w:trPr>
        <w:tc>
          <w:tcPr>
            <w:tcW w:w="798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280" w:type="dxa"/>
            <w:vAlign w:val="bottom"/>
            <w:shd w:val="clear" w:color="auto" w:fill="D9E1F2"/>
          </w:tcPr>
          <w:p>
            <w:pPr>
              <w:jc w:val="right"/>
              <w:ind w:right="162"/>
              <w:spacing w:after="0"/>
              <w:rPr>
                <w:sz w:val="20"/>
                <w:szCs w:val="20"/>
                <w:color w:val="auto"/>
              </w:rPr>
            </w:pPr>
            <w:r>
              <w:rPr>
                <w:rFonts w:ascii="Arial" w:cs="Arial" w:eastAsia="Arial" w:hAnsi="Arial"/>
                <w:sz w:val="12"/>
                <w:szCs w:val="12"/>
                <w:color w:val="auto"/>
              </w:rPr>
              <w:t>$152,250</w:t>
            </w:r>
          </w:p>
        </w:tc>
        <w:tc>
          <w:tcPr>
            <w:tcW w:w="1220" w:type="dxa"/>
            <w:vAlign w:val="bottom"/>
            <w:shd w:val="clear" w:color="auto" w:fill="D9E1F2"/>
          </w:tcPr>
          <w:p>
            <w:pPr>
              <w:jc w:val="right"/>
              <w:ind w:right="281"/>
              <w:spacing w:after="0"/>
              <w:rPr>
                <w:sz w:val="20"/>
                <w:szCs w:val="20"/>
                <w:color w:val="auto"/>
              </w:rPr>
            </w:pPr>
            <w:r>
              <w:rPr>
                <w:rFonts w:ascii="Arial" w:cs="Arial" w:eastAsia="Arial" w:hAnsi="Arial"/>
                <w:sz w:val="12"/>
                <w:szCs w:val="12"/>
                <w:color w:val="auto"/>
              </w:rPr>
              <w:t>$304,500</w:t>
            </w:r>
          </w:p>
        </w:tc>
        <w:tc>
          <w:tcPr>
            <w:tcW w:w="840" w:type="dxa"/>
            <w:vAlign w:val="bottom"/>
            <w:tcBorders>
              <w:right w:val="single" w:sz="8" w:color="auto"/>
            </w:tcBorders>
            <w:shd w:val="clear" w:color="auto" w:fill="D9E1F2"/>
          </w:tcPr>
          <w:p>
            <w:pPr>
              <w:jc w:val="right"/>
              <w:ind w:right="21"/>
              <w:spacing w:after="0"/>
              <w:rPr>
                <w:sz w:val="20"/>
                <w:szCs w:val="20"/>
                <w:color w:val="auto"/>
              </w:rPr>
            </w:pPr>
            <w:r>
              <w:rPr>
                <w:rFonts w:ascii="Arial" w:cs="Arial" w:eastAsia="Arial" w:hAnsi="Arial"/>
                <w:sz w:val="12"/>
                <w:szCs w:val="12"/>
                <w:color w:val="auto"/>
              </w:rPr>
              <w:t>$609,000</w:t>
            </w:r>
          </w:p>
        </w:tc>
      </w:tr>
      <w:tr>
        <w:trPr>
          <w:trHeight w:val="153"/>
        </w:trPr>
        <w:tc>
          <w:tcPr>
            <w:tcW w:w="798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280" w:type="dxa"/>
            <w:vAlign w:val="bottom"/>
            <w:shd w:val="clear" w:color="auto" w:fill="D9E1F2"/>
          </w:tcPr>
          <w:p>
            <w:pPr>
              <w:spacing w:after="0"/>
              <w:rPr>
                <w:sz w:val="13"/>
                <w:szCs w:val="13"/>
                <w:color w:val="auto"/>
              </w:rPr>
            </w:pPr>
          </w:p>
        </w:tc>
        <w:tc>
          <w:tcPr>
            <w:tcW w:w="1220" w:type="dxa"/>
            <w:vAlign w:val="bottom"/>
            <w:shd w:val="clear" w:color="auto" w:fill="D9E1F2"/>
          </w:tcPr>
          <w:p>
            <w:pPr>
              <w:spacing w:after="0"/>
              <w:rPr>
                <w:sz w:val="13"/>
                <w:szCs w:val="13"/>
                <w:color w:val="auto"/>
              </w:rPr>
            </w:pPr>
          </w:p>
        </w:tc>
        <w:tc>
          <w:tcPr>
            <w:tcW w:w="840" w:type="dxa"/>
            <w:vAlign w:val="bottom"/>
            <w:tcBorders>
              <w:right w:val="single" w:sz="8" w:color="auto"/>
            </w:tcBorders>
            <w:shd w:val="clear" w:color="auto" w:fill="D9E1F2"/>
          </w:tcPr>
          <w:p>
            <w:pPr>
              <w:spacing w:after="0"/>
              <w:rPr>
                <w:sz w:val="13"/>
                <w:szCs w:val="13"/>
                <w:color w:val="auto"/>
              </w:rPr>
            </w:pPr>
          </w:p>
        </w:tc>
      </w:tr>
      <w:tr>
        <w:trPr>
          <w:trHeight w:val="153"/>
        </w:trPr>
        <w:tc>
          <w:tcPr>
            <w:tcW w:w="798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K. Presley</w:t>
            </w:r>
          </w:p>
        </w:tc>
        <w:tc>
          <w:tcPr>
            <w:tcW w:w="1280" w:type="dxa"/>
            <w:vAlign w:val="bottom"/>
          </w:tcPr>
          <w:p>
            <w:pPr>
              <w:jc w:val="right"/>
              <w:ind w:right="162"/>
              <w:spacing w:after="0"/>
              <w:rPr>
                <w:sz w:val="20"/>
                <w:szCs w:val="20"/>
                <w:color w:val="auto"/>
              </w:rPr>
            </w:pPr>
            <w:r>
              <w:rPr>
                <w:rFonts w:ascii="Arial" w:cs="Arial" w:eastAsia="Arial" w:hAnsi="Arial"/>
                <w:sz w:val="12"/>
                <w:szCs w:val="12"/>
                <w:color w:val="auto"/>
              </w:rPr>
              <w:t>$85,500</w:t>
            </w:r>
          </w:p>
        </w:tc>
        <w:tc>
          <w:tcPr>
            <w:tcW w:w="1220" w:type="dxa"/>
            <w:vAlign w:val="bottom"/>
          </w:tcPr>
          <w:p>
            <w:pPr>
              <w:jc w:val="right"/>
              <w:ind w:right="281"/>
              <w:spacing w:after="0"/>
              <w:rPr>
                <w:sz w:val="20"/>
                <w:szCs w:val="20"/>
                <w:color w:val="auto"/>
              </w:rPr>
            </w:pPr>
            <w:r>
              <w:rPr>
                <w:rFonts w:ascii="Arial" w:cs="Arial" w:eastAsia="Arial" w:hAnsi="Arial"/>
                <w:sz w:val="12"/>
                <w:szCs w:val="12"/>
                <w:color w:val="auto"/>
              </w:rPr>
              <w:t>$171,000</w:t>
            </w:r>
          </w:p>
        </w:tc>
        <w:tc>
          <w:tcPr>
            <w:tcW w:w="84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$342,000</w:t>
            </w:r>
          </w:p>
        </w:tc>
      </w:tr>
      <w:tr>
        <w:trPr>
          <w:trHeight w:val="147"/>
        </w:trPr>
        <w:tc>
          <w:tcPr>
            <w:tcW w:w="798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threshold, target and maximum amounts represent the potential amount payable under the annual incentive plan based upon achievement of the performance goals established for 2020.</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Outstanding Equity Awards at Fiscal Year-End</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certain information with respect to the value of outstanding equity awards held by our NEOs at December 31, 2020. There were no stock option awards outstanding.</w:t>
      </w:r>
    </w:p>
    <w:p>
      <w:pPr>
        <w:spacing w:after="0" w:line="84"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5400" w:type="dxa"/>
            <w:vAlign w:val="bottom"/>
            <w:tcBorders>
              <w:top w:val="single" w:sz="8" w:color="auto"/>
              <w:left w:val="single" w:sz="8" w:color="auto"/>
              <w:bottom w:val="single" w:sz="8" w:color="D9E1F2"/>
            </w:tcBorders>
            <w:shd w:val="clear" w:color="auto" w:fill="D9E1F2"/>
          </w:tcPr>
          <w:p>
            <w:pPr>
              <w:spacing w:after="0"/>
              <w:rPr>
                <w:sz w:val="13"/>
                <w:szCs w:val="13"/>
                <w:color w:val="auto"/>
              </w:rPr>
            </w:pPr>
          </w:p>
        </w:tc>
        <w:tc>
          <w:tcPr>
            <w:tcW w:w="1120" w:type="dxa"/>
            <w:vAlign w:val="bottom"/>
            <w:tcBorders>
              <w:top w:val="single" w:sz="8" w:color="auto"/>
              <w:bottom w:val="single" w:sz="8" w:color="D9E1F2"/>
            </w:tcBorders>
            <w:shd w:val="clear" w:color="auto" w:fill="D9E1F2"/>
          </w:tcPr>
          <w:p>
            <w:pPr>
              <w:spacing w:after="0"/>
              <w:rPr>
                <w:sz w:val="13"/>
                <w:szCs w:val="13"/>
                <w:color w:val="auto"/>
              </w:rPr>
            </w:pPr>
          </w:p>
        </w:tc>
        <w:tc>
          <w:tcPr>
            <w:tcW w:w="1240" w:type="dxa"/>
            <w:vAlign w:val="bottom"/>
            <w:tcBorders>
              <w:top w:val="single" w:sz="8" w:color="auto"/>
              <w:bottom w:val="single" w:sz="8" w:color="auto"/>
            </w:tcBorders>
            <w:shd w:val="clear" w:color="auto" w:fill="D9E1F2"/>
          </w:tcPr>
          <w:p>
            <w:pPr>
              <w:spacing w:after="0"/>
              <w:rPr>
                <w:sz w:val="13"/>
                <w:szCs w:val="13"/>
                <w:color w:val="auto"/>
              </w:rPr>
            </w:pPr>
          </w:p>
        </w:tc>
        <w:tc>
          <w:tcPr>
            <w:tcW w:w="2360" w:type="dxa"/>
            <w:vAlign w:val="bottom"/>
            <w:tcBorders>
              <w:top w:val="single" w:sz="8" w:color="auto"/>
              <w:bottom w:val="single" w:sz="8" w:color="auto"/>
            </w:tcBorders>
            <w:gridSpan w:val="2"/>
            <w:shd w:val="clear" w:color="auto" w:fill="D9E1F2"/>
          </w:tcPr>
          <w:p>
            <w:pPr>
              <w:jc w:val="right"/>
              <w:ind w:right="846"/>
              <w:spacing w:after="0"/>
              <w:rPr>
                <w:sz w:val="20"/>
                <w:szCs w:val="20"/>
                <w:color w:val="auto"/>
              </w:rPr>
            </w:pPr>
            <w:r>
              <w:rPr>
                <w:rFonts w:ascii="Arial" w:cs="Arial" w:eastAsia="Arial" w:hAnsi="Arial"/>
                <w:sz w:val="11"/>
                <w:szCs w:val="11"/>
                <w:b w:val="1"/>
                <w:bCs w:val="1"/>
                <w:color w:val="auto"/>
              </w:rPr>
              <w:t>Stock Awards</w:t>
            </w:r>
          </w:p>
        </w:tc>
        <w:tc>
          <w:tcPr>
            <w:tcW w:w="1200" w:type="dxa"/>
            <w:vAlign w:val="bottom"/>
            <w:tcBorders>
              <w:top w:val="single" w:sz="8" w:color="auto"/>
              <w:bottom w:val="single" w:sz="8" w:color="auto"/>
              <w:right w:val="single" w:sz="8" w:color="auto"/>
            </w:tcBorders>
            <w:shd w:val="clear" w:color="auto" w:fill="D9E1F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400" w:type="dxa"/>
            <w:vAlign w:val="bottom"/>
            <w:tcBorders>
              <w:left w:val="single" w:sz="8" w:color="auto"/>
            </w:tcBorders>
            <w:shd w:val="clear" w:color="auto" w:fill="D9E1F2"/>
          </w:tcPr>
          <w:p>
            <w:pPr>
              <w:spacing w:after="0"/>
              <w:rPr>
                <w:sz w:val="8"/>
                <w:szCs w:val="8"/>
                <w:color w:val="auto"/>
              </w:rPr>
            </w:pPr>
          </w:p>
        </w:tc>
        <w:tc>
          <w:tcPr>
            <w:tcW w:w="1120" w:type="dxa"/>
            <w:vAlign w:val="bottom"/>
            <w:shd w:val="clear" w:color="auto" w:fill="D9E1F2"/>
          </w:tcPr>
          <w:p>
            <w:pPr>
              <w:spacing w:after="0"/>
              <w:rPr>
                <w:sz w:val="8"/>
                <w:szCs w:val="8"/>
                <w:color w:val="auto"/>
              </w:rPr>
            </w:pPr>
          </w:p>
        </w:tc>
        <w:tc>
          <w:tcPr>
            <w:tcW w:w="1240" w:type="dxa"/>
            <w:vAlign w:val="bottom"/>
            <w:shd w:val="clear" w:color="auto" w:fill="D9E1F2"/>
          </w:tcPr>
          <w:p>
            <w:pPr>
              <w:spacing w:after="0"/>
              <w:rPr>
                <w:sz w:val="8"/>
                <w:szCs w:val="8"/>
                <w:color w:val="auto"/>
              </w:rPr>
            </w:pPr>
          </w:p>
        </w:tc>
        <w:tc>
          <w:tcPr>
            <w:tcW w:w="1100" w:type="dxa"/>
            <w:vAlign w:val="bottom"/>
            <w:shd w:val="clear" w:color="auto" w:fill="D9E1F2"/>
          </w:tcPr>
          <w:p>
            <w:pPr>
              <w:jc w:val="center"/>
              <w:ind w:right="206"/>
              <w:spacing w:after="0" w:line="99" w:lineRule="exact"/>
              <w:rPr>
                <w:sz w:val="20"/>
                <w:szCs w:val="20"/>
                <w:color w:val="auto"/>
              </w:rPr>
            </w:pPr>
            <w:r>
              <w:rPr>
                <w:rFonts w:ascii="Arial" w:cs="Arial" w:eastAsia="Arial" w:hAnsi="Arial"/>
                <w:sz w:val="11"/>
                <w:szCs w:val="11"/>
                <w:b w:val="1"/>
                <w:bCs w:val="1"/>
                <w:color w:val="auto"/>
              </w:rPr>
              <w:t>Market</w:t>
            </w:r>
          </w:p>
        </w:tc>
        <w:tc>
          <w:tcPr>
            <w:tcW w:w="1260" w:type="dxa"/>
            <w:vAlign w:val="bottom"/>
            <w:shd w:val="clear" w:color="auto" w:fill="D9E1F2"/>
          </w:tcPr>
          <w:p>
            <w:pPr>
              <w:spacing w:after="0"/>
              <w:rPr>
                <w:sz w:val="8"/>
                <w:szCs w:val="8"/>
                <w:color w:val="auto"/>
              </w:rPr>
            </w:pPr>
          </w:p>
        </w:tc>
        <w:tc>
          <w:tcPr>
            <w:tcW w:w="1200" w:type="dxa"/>
            <w:vAlign w:val="bottom"/>
            <w:tcBorders>
              <w:right w:val="single" w:sz="8" w:color="auto"/>
            </w:tcBorders>
            <w:shd w:val="clear" w:color="auto" w:fill="D9E1F2"/>
          </w:tcPr>
          <w:p>
            <w:pPr>
              <w:jc w:val="center"/>
              <w:ind w:right="126"/>
              <w:spacing w:after="0" w:line="99" w:lineRule="exact"/>
              <w:rPr>
                <w:sz w:val="20"/>
                <w:szCs w:val="20"/>
                <w:color w:val="auto"/>
              </w:rPr>
            </w:pPr>
            <w:r>
              <w:rPr>
                <w:rFonts w:ascii="Arial" w:cs="Arial" w:eastAsia="Arial" w:hAnsi="Arial"/>
                <w:sz w:val="11"/>
                <w:szCs w:val="11"/>
                <w:b w:val="1"/>
                <w:bCs w:val="1"/>
                <w:color w:val="auto"/>
                <w:w w:val="91"/>
              </w:rPr>
              <w:t>Market Value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spacing w:after="0"/>
              <w:rPr>
                <w:sz w:val="9"/>
                <w:szCs w:val="9"/>
                <w:color w:val="auto"/>
              </w:rPr>
            </w:pPr>
          </w:p>
        </w:tc>
        <w:tc>
          <w:tcPr>
            <w:tcW w:w="1100" w:type="dxa"/>
            <w:vAlign w:val="bottom"/>
            <w:shd w:val="clear" w:color="auto" w:fill="D9E1F2"/>
          </w:tcPr>
          <w:p>
            <w:pPr>
              <w:jc w:val="center"/>
              <w:ind w:right="226"/>
              <w:spacing w:after="0" w:line="108" w:lineRule="exact"/>
              <w:rPr>
                <w:sz w:val="20"/>
                <w:szCs w:val="20"/>
                <w:color w:val="auto"/>
              </w:rPr>
            </w:pPr>
            <w:r>
              <w:rPr>
                <w:rFonts w:ascii="Arial" w:cs="Arial" w:eastAsia="Arial" w:hAnsi="Arial"/>
                <w:sz w:val="11"/>
                <w:szCs w:val="11"/>
                <w:b w:val="1"/>
                <w:bCs w:val="1"/>
                <w:color w:val="auto"/>
                <w:w w:val="88"/>
              </w:rPr>
              <w:t>Value of</w:t>
            </w:r>
          </w:p>
        </w:tc>
        <w:tc>
          <w:tcPr>
            <w:tcW w:w="1260" w:type="dxa"/>
            <w:vAlign w:val="bottom"/>
            <w:shd w:val="clear" w:color="auto" w:fill="D9E1F2"/>
          </w:tcPr>
          <w:p>
            <w:pPr>
              <w:spacing w:after="0"/>
              <w:rPr>
                <w:sz w:val="9"/>
                <w:szCs w:val="9"/>
                <w:color w:val="auto"/>
              </w:rPr>
            </w:pP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9"/>
              </w:rPr>
              <w:t>of Equity</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spacing w:after="0"/>
              <w:rPr>
                <w:sz w:val="9"/>
                <w:szCs w:val="9"/>
                <w:color w:val="auto"/>
              </w:rPr>
            </w:pP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87"/>
              </w:rPr>
              <w:t>Shares of</w:t>
            </w:r>
          </w:p>
        </w:tc>
        <w:tc>
          <w:tcPr>
            <w:tcW w:w="1260" w:type="dxa"/>
            <w:vAlign w:val="bottom"/>
            <w:shd w:val="clear" w:color="auto" w:fill="D9E1F2"/>
          </w:tcPr>
          <w:p>
            <w:pPr>
              <w:spacing w:after="0"/>
              <w:rPr>
                <w:sz w:val="9"/>
                <w:szCs w:val="9"/>
                <w:color w:val="auto"/>
              </w:rPr>
            </w:pP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spacing w:after="0"/>
              <w:rPr>
                <w:sz w:val="9"/>
                <w:szCs w:val="9"/>
                <w:color w:val="auto"/>
              </w:rPr>
            </w:pP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92"/>
              </w:rPr>
              <w:t>Stock That</w:t>
            </w:r>
          </w:p>
        </w:tc>
        <w:tc>
          <w:tcPr>
            <w:tcW w:w="1260" w:type="dxa"/>
            <w:vAlign w:val="bottom"/>
            <w:shd w:val="clear" w:color="auto" w:fill="D9E1F2"/>
          </w:tcPr>
          <w:p>
            <w:pPr>
              <w:spacing w:after="0"/>
              <w:rPr>
                <w:sz w:val="9"/>
                <w:szCs w:val="9"/>
                <w:color w:val="auto"/>
              </w:rPr>
            </w:pP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93"/>
              </w:rPr>
              <w:t>Awards That</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spacing w:after="0"/>
              <w:rPr>
                <w:sz w:val="9"/>
                <w:szCs w:val="9"/>
                <w:color w:val="auto"/>
              </w:rPr>
            </w:pP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92"/>
              </w:rPr>
              <w:t>Have Not</w:t>
            </w:r>
          </w:p>
        </w:tc>
        <w:tc>
          <w:tcPr>
            <w:tcW w:w="1260" w:type="dxa"/>
            <w:vAlign w:val="bottom"/>
            <w:vMerge w:val="restart"/>
            <w:shd w:val="clear" w:color="auto" w:fill="D9E1F2"/>
          </w:tcPr>
          <w:p>
            <w:pPr>
              <w:jc w:val="center"/>
              <w:ind w:right="226"/>
              <w:spacing w:after="0"/>
              <w:rPr>
                <w:sz w:val="20"/>
                <w:szCs w:val="20"/>
                <w:color w:val="auto"/>
              </w:rPr>
            </w:pPr>
            <w:r>
              <w:rPr>
                <w:rFonts w:ascii="Arial" w:cs="Arial" w:eastAsia="Arial" w:hAnsi="Arial"/>
                <w:sz w:val="11"/>
                <w:szCs w:val="11"/>
                <w:b w:val="1"/>
                <w:bCs w:val="1"/>
                <w:color w:val="auto"/>
                <w:w w:val="90"/>
              </w:rPr>
              <w:t>Number of</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7"/>
              </w:rPr>
              <w:t>Have Not</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vMerge w:val="restart"/>
            <w:shd w:val="clear" w:color="auto" w:fill="D9E1F2"/>
          </w:tcPr>
          <w:p>
            <w:pPr>
              <w:jc w:val="center"/>
              <w:ind w:right="86"/>
              <w:spacing w:after="0"/>
              <w:rPr>
                <w:sz w:val="20"/>
                <w:szCs w:val="20"/>
                <w:color w:val="auto"/>
              </w:rPr>
            </w:pPr>
            <w:r>
              <w:rPr>
                <w:rFonts w:ascii="Arial" w:cs="Arial" w:eastAsia="Arial" w:hAnsi="Arial"/>
                <w:sz w:val="11"/>
                <w:szCs w:val="11"/>
                <w:b w:val="1"/>
                <w:bCs w:val="1"/>
                <w:color w:val="auto"/>
                <w:w w:val="90"/>
              </w:rPr>
              <w:t>Number of</w:t>
            </w: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rPr>
              <w:t>Market</w:t>
            </w:r>
          </w:p>
        </w:tc>
        <w:tc>
          <w:tcPr>
            <w:tcW w:w="1260" w:type="dxa"/>
            <w:vAlign w:val="bottom"/>
            <w:vMerge w:val="continue"/>
            <w:shd w:val="clear" w:color="auto" w:fill="D9E1F2"/>
          </w:tcPr>
          <w:p>
            <w:pPr>
              <w:spacing w:after="0"/>
              <w:rPr>
                <w:sz w:val="9"/>
                <w:szCs w:val="9"/>
                <w:color w:val="auto"/>
              </w:rPr>
            </w:pP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91"/>
              </w:rPr>
              <w:t>Market Value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vMerge w:val="continue"/>
            <w:shd w:val="clear" w:color="auto" w:fill="D9E1F2"/>
          </w:tcPr>
          <w:p>
            <w:pPr>
              <w:spacing w:after="0"/>
              <w:rPr>
                <w:sz w:val="9"/>
                <w:szCs w:val="9"/>
                <w:color w:val="auto"/>
              </w:rPr>
            </w:pPr>
          </w:p>
        </w:tc>
        <w:tc>
          <w:tcPr>
            <w:tcW w:w="1100" w:type="dxa"/>
            <w:vAlign w:val="bottom"/>
            <w:shd w:val="clear" w:color="auto" w:fill="D9E1F2"/>
          </w:tcPr>
          <w:p>
            <w:pPr>
              <w:jc w:val="center"/>
              <w:ind w:right="226"/>
              <w:spacing w:after="0" w:line="108" w:lineRule="exact"/>
              <w:rPr>
                <w:sz w:val="20"/>
                <w:szCs w:val="20"/>
                <w:color w:val="auto"/>
              </w:rPr>
            </w:pPr>
            <w:r>
              <w:rPr>
                <w:rFonts w:ascii="Arial" w:cs="Arial" w:eastAsia="Arial" w:hAnsi="Arial"/>
                <w:sz w:val="11"/>
                <w:szCs w:val="11"/>
                <w:b w:val="1"/>
                <w:bCs w:val="1"/>
                <w:color w:val="auto"/>
                <w:w w:val="88"/>
              </w:rPr>
              <w:t>Value of</w:t>
            </w:r>
          </w:p>
        </w:tc>
        <w:tc>
          <w:tcPr>
            <w:tcW w:w="1260" w:type="dxa"/>
            <w:vAlign w:val="bottom"/>
            <w:shd w:val="clear" w:color="auto" w:fill="D9E1F2"/>
          </w:tcPr>
          <w:p>
            <w:pPr>
              <w:jc w:val="center"/>
              <w:ind w:right="226"/>
              <w:spacing w:after="0" w:line="108" w:lineRule="exact"/>
              <w:rPr>
                <w:sz w:val="20"/>
                <w:szCs w:val="20"/>
                <w:color w:val="auto"/>
              </w:rPr>
            </w:pPr>
            <w:r>
              <w:rPr>
                <w:rFonts w:ascii="Arial" w:cs="Arial" w:eastAsia="Arial" w:hAnsi="Arial"/>
                <w:sz w:val="11"/>
                <w:szCs w:val="11"/>
                <w:b w:val="1"/>
                <w:bCs w:val="1"/>
                <w:color w:val="auto"/>
                <w:w w:val="89"/>
              </w:rPr>
              <w:t>Equity</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9"/>
              </w:rPr>
              <w:t>of Equity</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shd w:val="clear" w:color="auto" w:fill="D9E1F2"/>
          </w:tcPr>
          <w:p>
            <w:pPr>
              <w:spacing w:after="0"/>
              <w:rPr>
                <w:sz w:val="9"/>
                <w:szCs w:val="9"/>
                <w:color w:val="auto"/>
              </w:rPr>
            </w:pPr>
          </w:p>
        </w:tc>
        <w:tc>
          <w:tcPr>
            <w:tcW w:w="1240" w:type="dxa"/>
            <w:vAlign w:val="bottom"/>
            <w:shd w:val="clear" w:color="auto" w:fill="D9E1F2"/>
          </w:tcPr>
          <w:p>
            <w:pPr>
              <w:jc w:val="center"/>
              <w:ind w:right="86"/>
              <w:spacing w:after="0" w:line="108" w:lineRule="exact"/>
              <w:rPr>
                <w:sz w:val="20"/>
                <w:szCs w:val="20"/>
                <w:color w:val="auto"/>
              </w:rPr>
            </w:pPr>
            <w:r>
              <w:rPr>
                <w:rFonts w:ascii="Arial" w:cs="Arial" w:eastAsia="Arial" w:hAnsi="Arial"/>
                <w:sz w:val="11"/>
                <w:szCs w:val="11"/>
                <w:b w:val="1"/>
                <w:bCs w:val="1"/>
                <w:color w:val="auto"/>
                <w:w w:val="83"/>
              </w:rPr>
              <w:t>Shares of</w:t>
            </w: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87"/>
              </w:rPr>
              <w:t>Shares of</w:t>
            </w:r>
          </w:p>
        </w:tc>
        <w:tc>
          <w:tcPr>
            <w:tcW w:w="1260" w:type="dxa"/>
            <w:vAlign w:val="bottom"/>
            <w:shd w:val="clear" w:color="auto" w:fill="D9E1F2"/>
          </w:tcPr>
          <w:p>
            <w:pPr>
              <w:jc w:val="center"/>
              <w:ind w:right="226"/>
              <w:spacing w:after="0" w:line="108" w:lineRule="exact"/>
              <w:rPr>
                <w:sz w:val="20"/>
                <w:szCs w:val="20"/>
                <w:color w:val="auto"/>
              </w:rPr>
            </w:pPr>
            <w:r>
              <w:rPr>
                <w:rFonts w:ascii="Arial" w:cs="Arial" w:eastAsia="Arial" w:hAnsi="Arial"/>
                <w:sz w:val="11"/>
                <w:szCs w:val="11"/>
                <w:b w:val="1"/>
                <w:bCs w:val="1"/>
                <w:color w:val="auto"/>
                <w:w w:val="87"/>
              </w:rPr>
              <w:t>Incentive</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shd w:val="clear" w:color="auto" w:fill="D9E1F2"/>
          </w:tcPr>
          <w:p>
            <w:pPr>
              <w:spacing w:after="0"/>
              <w:rPr>
                <w:sz w:val="9"/>
                <w:szCs w:val="9"/>
                <w:color w:val="auto"/>
              </w:rPr>
            </w:pPr>
          </w:p>
        </w:tc>
        <w:tc>
          <w:tcPr>
            <w:tcW w:w="1120" w:type="dxa"/>
            <w:vAlign w:val="bottom"/>
            <w:vMerge w:val="restart"/>
            <w:shd w:val="clear" w:color="auto" w:fill="D9E1F2"/>
          </w:tcPr>
          <w:p>
            <w:pPr>
              <w:jc w:val="center"/>
              <w:spacing w:after="0"/>
              <w:rPr>
                <w:sz w:val="20"/>
                <w:szCs w:val="20"/>
                <w:color w:val="auto"/>
              </w:rPr>
            </w:pPr>
            <w:r>
              <w:rPr>
                <w:rFonts w:ascii="Arial" w:cs="Arial" w:eastAsia="Arial" w:hAnsi="Arial"/>
                <w:sz w:val="11"/>
                <w:szCs w:val="11"/>
                <w:b w:val="1"/>
                <w:bCs w:val="1"/>
                <w:color w:val="auto"/>
                <w:w w:val="85"/>
              </w:rPr>
              <w:t>Year of</w:t>
            </w:r>
          </w:p>
        </w:tc>
        <w:tc>
          <w:tcPr>
            <w:tcW w:w="1240" w:type="dxa"/>
            <w:vAlign w:val="bottom"/>
            <w:shd w:val="clear" w:color="auto" w:fill="D9E1F2"/>
          </w:tcPr>
          <w:p>
            <w:pPr>
              <w:jc w:val="center"/>
              <w:ind w:right="86"/>
              <w:spacing w:after="0" w:line="108" w:lineRule="exact"/>
              <w:rPr>
                <w:sz w:val="20"/>
                <w:szCs w:val="20"/>
                <w:color w:val="auto"/>
              </w:rPr>
            </w:pPr>
            <w:r>
              <w:rPr>
                <w:rFonts w:ascii="Arial" w:cs="Arial" w:eastAsia="Arial" w:hAnsi="Arial"/>
                <w:sz w:val="11"/>
                <w:szCs w:val="11"/>
                <w:b w:val="1"/>
                <w:bCs w:val="1"/>
                <w:color w:val="auto"/>
                <w:w w:val="88"/>
              </w:rPr>
              <w:t>Stock That</w:t>
            </w: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92"/>
              </w:rPr>
              <w:t>Stock That</w:t>
            </w:r>
          </w:p>
        </w:tc>
        <w:tc>
          <w:tcPr>
            <w:tcW w:w="1260" w:type="dxa"/>
            <w:vAlign w:val="bottom"/>
            <w:shd w:val="clear" w:color="auto" w:fill="D9E1F2"/>
          </w:tcPr>
          <w:p>
            <w:pPr>
              <w:jc w:val="center"/>
              <w:ind w:right="246"/>
              <w:spacing w:after="0" w:line="108" w:lineRule="exact"/>
              <w:rPr>
                <w:sz w:val="20"/>
                <w:szCs w:val="20"/>
                <w:color w:val="auto"/>
              </w:rPr>
            </w:pPr>
            <w:r>
              <w:rPr>
                <w:rFonts w:ascii="Arial" w:cs="Arial" w:eastAsia="Arial" w:hAnsi="Arial"/>
                <w:sz w:val="11"/>
                <w:szCs w:val="11"/>
                <w:b w:val="1"/>
                <w:bCs w:val="1"/>
                <w:color w:val="auto"/>
                <w:w w:val="90"/>
              </w:rPr>
              <w:t>Awards That</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93"/>
              </w:rPr>
              <w:t>Awards That</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120" w:type="dxa"/>
            <w:vAlign w:val="bottom"/>
            <w:vMerge w:val="continue"/>
            <w:shd w:val="clear" w:color="auto" w:fill="D9E1F2"/>
          </w:tcPr>
          <w:p>
            <w:pPr>
              <w:spacing w:after="0"/>
              <w:rPr>
                <w:sz w:val="9"/>
                <w:szCs w:val="9"/>
                <w:color w:val="auto"/>
              </w:rPr>
            </w:pPr>
          </w:p>
        </w:tc>
        <w:tc>
          <w:tcPr>
            <w:tcW w:w="1240" w:type="dxa"/>
            <w:vAlign w:val="bottom"/>
            <w:shd w:val="clear" w:color="auto" w:fill="D9E1F2"/>
          </w:tcPr>
          <w:p>
            <w:pPr>
              <w:jc w:val="center"/>
              <w:ind w:right="86"/>
              <w:spacing w:after="0" w:line="108" w:lineRule="exact"/>
              <w:rPr>
                <w:sz w:val="20"/>
                <w:szCs w:val="20"/>
                <w:color w:val="auto"/>
              </w:rPr>
            </w:pPr>
            <w:r>
              <w:rPr>
                <w:rFonts w:ascii="Arial" w:cs="Arial" w:eastAsia="Arial" w:hAnsi="Arial"/>
                <w:sz w:val="11"/>
                <w:szCs w:val="11"/>
                <w:b w:val="1"/>
                <w:bCs w:val="1"/>
                <w:color w:val="auto"/>
                <w:w w:val="87"/>
              </w:rPr>
              <w:t>Have Not</w:t>
            </w:r>
          </w:p>
        </w:tc>
        <w:tc>
          <w:tcPr>
            <w:tcW w:w="1100" w:type="dxa"/>
            <w:vAlign w:val="bottom"/>
            <w:shd w:val="clear" w:color="auto" w:fill="D9E1F2"/>
          </w:tcPr>
          <w:p>
            <w:pPr>
              <w:jc w:val="center"/>
              <w:ind w:right="206"/>
              <w:spacing w:after="0" w:line="108" w:lineRule="exact"/>
              <w:rPr>
                <w:sz w:val="20"/>
                <w:szCs w:val="20"/>
                <w:color w:val="auto"/>
              </w:rPr>
            </w:pPr>
            <w:r>
              <w:rPr>
                <w:rFonts w:ascii="Arial" w:cs="Arial" w:eastAsia="Arial" w:hAnsi="Arial"/>
                <w:sz w:val="11"/>
                <w:szCs w:val="11"/>
                <w:b w:val="1"/>
                <w:bCs w:val="1"/>
                <w:color w:val="auto"/>
                <w:w w:val="92"/>
              </w:rPr>
              <w:t>Have Not</w:t>
            </w:r>
          </w:p>
        </w:tc>
        <w:tc>
          <w:tcPr>
            <w:tcW w:w="1260" w:type="dxa"/>
            <w:vAlign w:val="bottom"/>
            <w:shd w:val="clear" w:color="auto" w:fill="D9E1F2"/>
          </w:tcPr>
          <w:p>
            <w:pPr>
              <w:jc w:val="center"/>
              <w:ind w:right="226"/>
              <w:spacing w:after="0" w:line="108" w:lineRule="exact"/>
              <w:rPr>
                <w:sz w:val="20"/>
                <w:szCs w:val="20"/>
                <w:color w:val="auto"/>
              </w:rPr>
            </w:pPr>
            <w:r>
              <w:rPr>
                <w:rFonts w:ascii="Arial" w:cs="Arial" w:eastAsia="Arial" w:hAnsi="Arial"/>
                <w:sz w:val="11"/>
                <w:szCs w:val="11"/>
                <w:b w:val="1"/>
                <w:bCs w:val="1"/>
                <w:color w:val="auto"/>
                <w:w w:val="87"/>
              </w:rPr>
              <w:t>Have Not</w:t>
            </w:r>
          </w:p>
        </w:tc>
        <w:tc>
          <w:tcPr>
            <w:tcW w:w="1200" w:type="dxa"/>
            <w:vAlign w:val="bottom"/>
            <w:tcBorders>
              <w:right w:val="single" w:sz="8" w:color="auto"/>
            </w:tcBorders>
            <w:shd w:val="clear" w:color="auto" w:fill="D9E1F2"/>
          </w:tcPr>
          <w:p>
            <w:pPr>
              <w:jc w:val="center"/>
              <w:ind w:right="126"/>
              <w:spacing w:after="0" w:line="108" w:lineRule="exact"/>
              <w:rPr>
                <w:sz w:val="20"/>
                <w:szCs w:val="20"/>
                <w:color w:val="auto"/>
              </w:rPr>
            </w:pPr>
            <w:r>
              <w:rPr>
                <w:rFonts w:ascii="Arial" w:cs="Arial" w:eastAsia="Arial" w:hAnsi="Arial"/>
                <w:sz w:val="11"/>
                <w:szCs w:val="11"/>
                <w:b w:val="1"/>
                <w:bCs w:val="1"/>
                <w:color w:val="auto"/>
                <w:w w:val="87"/>
              </w:rPr>
              <w:t>Have Not</w:t>
            </w:r>
          </w:p>
        </w:tc>
        <w:tc>
          <w:tcPr>
            <w:tcW w:w="0" w:type="dxa"/>
            <w:vAlign w:val="bottom"/>
          </w:tcPr>
          <w:p>
            <w:pPr>
              <w:spacing w:after="0"/>
              <w:rPr>
                <w:sz w:val="1"/>
                <w:szCs w:val="1"/>
                <w:color w:val="auto"/>
              </w:rPr>
            </w:pPr>
          </w:p>
        </w:tc>
      </w:tr>
      <w:tr>
        <w:trPr>
          <w:trHeight w:val="144"/>
        </w:trPr>
        <w:tc>
          <w:tcPr>
            <w:tcW w:w="540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120" w:type="dxa"/>
            <w:vAlign w:val="bottom"/>
            <w:tcBorders>
              <w:bottom w:val="single" w:sz="8" w:color="auto"/>
            </w:tcBorders>
            <w:shd w:val="clear" w:color="auto" w:fill="D9E1F2"/>
          </w:tcPr>
          <w:p>
            <w:pPr>
              <w:jc w:val="center"/>
              <w:spacing w:after="0"/>
              <w:rPr>
                <w:sz w:val="20"/>
                <w:szCs w:val="20"/>
                <w:color w:val="auto"/>
              </w:rPr>
            </w:pPr>
            <w:r>
              <w:rPr>
                <w:rFonts w:ascii="Arial" w:cs="Arial" w:eastAsia="Arial" w:hAnsi="Arial"/>
                <w:sz w:val="11"/>
                <w:szCs w:val="11"/>
                <w:b w:val="1"/>
                <w:bCs w:val="1"/>
                <w:color w:val="auto"/>
                <w:w w:val="85"/>
              </w:rPr>
              <w:t>Vesting</w:t>
            </w:r>
          </w:p>
        </w:tc>
        <w:tc>
          <w:tcPr>
            <w:tcW w:w="1240" w:type="dxa"/>
            <w:vAlign w:val="bottom"/>
            <w:tcBorders>
              <w:bottom w:val="single" w:sz="8" w:color="auto"/>
            </w:tcBorders>
            <w:shd w:val="clear" w:color="auto" w:fill="D9E1F2"/>
          </w:tcPr>
          <w:p>
            <w:pPr>
              <w:jc w:val="center"/>
              <w:ind w:right="86"/>
              <w:spacing w:after="0"/>
              <w:rPr>
                <w:sz w:val="20"/>
                <w:szCs w:val="20"/>
                <w:color w:val="auto"/>
              </w:rPr>
            </w:pPr>
            <w:r>
              <w:rPr>
                <w:rFonts w:ascii="Arial" w:cs="Arial" w:eastAsia="Arial" w:hAnsi="Arial"/>
                <w:sz w:val="11"/>
                <w:szCs w:val="11"/>
                <w:b w:val="1"/>
                <w:bCs w:val="1"/>
                <w:color w:val="auto"/>
                <w:w w:val="87"/>
              </w:rPr>
              <w:t>Vested (#)</w:t>
            </w:r>
          </w:p>
        </w:tc>
        <w:tc>
          <w:tcPr>
            <w:tcW w:w="1100" w:type="dxa"/>
            <w:vAlign w:val="bottom"/>
            <w:tcBorders>
              <w:bottom w:val="single" w:sz="8" w:color="auto"/>
            </w:tcBorders>
            <w:shd w:val="clear" w:color="auto" w:fill="D9E1F2"/>
          </w:tcPr>
          <w:p>
            <w:pPr>
              <w:jc w:val="center"/>
              <w:ind w:right="206"/>
              <w:spacing w:after="0" w:line="144" w:lineRule="exact"/>
              <w:rPr>
                <w:sz w:val="20"/>
                <w:szCs w:val="20"/>
                <w:color w:val="auto"/>
              </w:rPr>
            </w:pPr>
            <w:r>
              <w:rPr>
                <w:rFonts w:ascii="Arial" w:cs="Arial" w:eastAsia="Arial" w:hAnsi="Arial"/>
                <w:sz w:val="11"/>
                <w:szCs w:val="11"/>
                <w:b w:val="1"/>
                <w:bCs w:val="1"/>
                <w:color w:val="auto"/>
                <w:w w:val="79"/>
              </w:rPr>
              <w:t xml:space="preserve">Vested </w:t>
            </w:r>
            <w:r>
              <w:rPr>
                <w:rFonts w:ascii="Arial" w:cs="Arial" w:eastAsia="Arial" w:hAnsi="Arial"/>
                <w:sz w:val="14"/>
                <w:szCs w:val="14"/>
                <w:b w:val="1"/>
                <w:bCs w:val="1"/>
                <w:color w:val="auto"/>
                <w:w w:val="79"/>
                <w:vertAlign w:val="superscript"/>
              </w:rPr>
              <w:t>(1)</w:t>
            </w:r>
          </w:p>
        </w:tc>
        <w:tc>
          <w:tcPr>
            <w:tcW w:w="1260" w:type="dxa"/>
            <w:vAlign w:val="bottom"/>
            <w:tcBorders>
              <w:bottom w:val="single" w:sz="8" w:color="auto"/>
            </w:tcBorders>
            <w:shd w:val="clear" w:color="auto" w:fill="D9E1F2"/>
          </w:tcPr>
          <w:p>
            <w:pPr>
              <w:jc w:val="center"/>
              <w:ind w:right="226"/>
              <w:spacing w:after="0" w:line="144" w:lineRule="exact"/>
              <w:rPr>
                <w:sz w:val="20"/>
                <w:szCs w:val="20"/>
                <w:color w:val="auto"/>
              </w:rPr>
            </w:pPr>
            <w:r>
              <w:rPr>
                <w:rFonts w:ascii="Arial" w:cs="Arial" w:eastAsia="Arial" w:hAnsi="Arial"/>
                <w:sz w:val="11"/>
                <w:szCs w:val="11"/>
                <w:b w:val="1"/>
                <w:bCs w:val="1"/>
                <w:color w:val="auto"/>
                <w:w w:val="84"/>
              </w:rPr>
              <w:t xml:space="preserve">Vested(#) </w:t>
            </w:r>
            <w:r>
              <w:rPr>
                <w:rFonts w:ascii="Arial" w:cs="Arial" w:eastAsia="Arial" w:hAnsi="Arial"/>
                <w:sz w:val="14"/>
                <w:szCs w:val="14"/>
                <w:b w:val="1"/>
                <w:bCs w:val="1"/>
                <w:color w:val="auto"/>
                <w:w w:val="84"/>
                <w:vertAlign w:val="superscript"/>
              </w:rPr>
              <w:t>(2)</w:t>
            </w:r>
          </w:p>
        </w:tc>
        <w:tc>
          <w:tcPr>
            <w:tcW w:w="1200" w:type="dxa"/>
            <w:vAlign w:val="bottom"/>
            <w:tcBorders>
              <w:bottom w:val="single" w:sz="8" w:color="auto"/>
              <w:right w:val="single" w:sz="8" w:color="auto"/>
            </w:tcBorders>
            <w:shd w:val="clear" w:color="auto" w:fill="D9E1F2"/>
          </w:tcPr>
          <w:p>
            <w:pPr>
              <w:jc w:val="center"/>
              <w:ind w:right="126"/>
              <w:spacing w:after="0" w:line="144" w:lineRule="exact"/>
              <w:rPr>
                <w:sz w:val="20"/>
                <w:szCs w:val="20"/>
                <w:color w:val="auto"/>
              </w:rPr>
            </w:pPr>
            <w:r>
              <w:rPr>
                <w:rFonts w:ascii="Arial" w:cs="Arial" w:eastAsia="Arial" w:hAnsi="Arial"/>
                <w:sz w:val="11"/>
                <w:szCs w:val="11"/>
                <w:b w:val="1"/>
                <w:bCs w:val="1"/>
                <w:color w:val="auto"/>
                <w:w w:val="83"/>
              </w:rPr>
              <w:t xml:space="preserve">Vested </w:t>
            </w:r>
            <w:r>
              <w:rPr>
                <w:rFonts w:ascii="Arial" w:cs="Arial" w:eastAsia="Arial" w:hAnsi="Arial"/>
                <w:sz w:val="14"/>
                <w:szCs w:val="14"/>
                <w:b w:val="1"/>
                <w:bCs w:val="1"/>
                <w:color w:val="auto"/>
                <w:w w:val="83"/>
                <w:vertAlign w:val="superscript"/>
              </w:rPr>
              <w:t>(3)</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M. Jay Allison</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122,279</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$534,359</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142,241</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$621,593</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74,864</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$327,156</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224,592</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$981,467</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540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2021</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83,000</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$362,710</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96,552</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$421,932</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2022</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50,818</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$222,075</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152,450</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$666,207</w:t>
            </w:r>
          </w:p>
        </w:tc>
        <w:tc>
          <w:tcPr>
            <w:tcW w:w="0" w:type="dxa"/>
            <w:vAlign w:val="bottom"/>
          </w:tcPr>
          <w:p>
            <w:pPr>
              <w:spacing w:after="0"/>
              <w:rPr>
                <w:sz w:val="1"/>
                <w:szCs w:val="1"/>
                <w:color w:val="auto"/>
              </w:rPr>
            </w:pPr>
          </w:p>
        </w:tc>
      </w:tr>
      <w:tr>
        <w:trPr>
          <w:trHeight w:val="148"/>
        </w:trPr>
        <w:tc>
          <w:tcPr>
            <w:tcW w:w="5400" w:type="dxa"/>
            <w:vAlign w:val="bottom"/>
            <w:tcBorders>
              <w:left w:val="single" w:sz="8" w:color="auto"/>
            </w:tcBorders>
            <w:shd w:val="clear" w:color="auto" w:fill="D9E1F2"/>
          </w:tcPr>
          <w:p>
            <w:pPr>
              <w:spacing w:after="0"/>
              <w:rPr>
                <w:sz w:val="12"/>
                <w:szCs w:val="12"/>
                <w:color w:val="auto"/>
              </w:rPr>
            </w:pP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2023</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54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S. Harrison</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66,621</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$291,134</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32,687</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$142,842</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55,725</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$243,518</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81,670</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$356,898</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tcBorders>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28,500</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$124,545</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85,502</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$373,644</w:t>
            </w:r>
          </w:p>
        </w:tc>
        <w:tc>
          <w:tcPr>
            <w:tcW w:w="0" w:type="dxa"/>
            <w:vAlign w:val="bottom"/>
          </w:tcPr>
          <w:p>
            <w:pPr>
              <w:spacing w:after="0"/>
              <w:rPr>
                <w:sz w:val="1"/>
                <w:szCs w:val="1"/>
                <w:color w:val="auto"/>
              </w:rPr>
            </w:pPr>
          </w:p>
        </w:tc>
      </w:tr>
      <w:tr>
        <w:trPr>
          <w:trHeight w:val="155"/>
        </w:trPr>
        <w:tc>
          <w:tcPr>
            <w:tcW w:w="540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2021</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26,331</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$115,066</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2022</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26,332</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$115,071</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38,566</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$168,533</w:t>
            </w:r>
          </w:p>
        </w:tc>
        <w:tc>
          <w:tcPr>
            <w:tcW w:w="0" w:type="dxa"/>
            <w:vAlign w:val="bottom"/>
          </w:tcPr>
          <w:p>
            <w:pPr>
              <w:spacing w:after="0"/>
              <w:rPr>
                <w:sz w:val="1"/>
                <w:szCs w:val="1"/>
                <w:color w:val="auto"/>
              </w:rPr>
            </w:pPr>
          </w:p>
        </w:tc>
      </w:tr>
      <w:tr>
        <w:trPr>
          <w:trHeight w:val="148"/>
        </w:trPr>
        <w:tc>
          <w:tcPr>
            <w:tcW w:w="5400" w:type="dxa"/>
            <w:vAlign w:val="bottom"/>
            <w:tcBorders>
              <w:left w:val="single" w:sz="8" w:color="auto"/>
            </w:tcBorders>
            <w:shd w:val="clear" w:color="auto" w:fill="D9E1F2"/>
          </w:tcPr>
          <w:p>
            <w:pPr>
              <w:spacing w:after="0"/>
              <w:rPr>
                <w:sz w:val="12"/>
                <w:szCs w:val="12"/>
                <w:color w:val="auto"/>
              </w:rPr>
            </w:pPr>
          </w:p>
        </w:tc>
        <w:tc>
          <w:tcPr>
            <w:tcW w:w="1120" w:type="dxa"/>
            <w:vAlign w:val="bottom"/>
            <w:shd w:val="clear" w:color="auto" w:fill="D9E1F2"/>
          </w:tcPr>
          <w:p>
            <w:pPr>
              <w:jc w:val="center"/>
              <w:spacing w:after="0"/>
              <w:rPr>
                <w:sz w:val="20"/>
                <w:szCs w:val="20"/>
                <w:color w:val="auto"/>
              </w:rPr>
            </w:pPr>
            <w:r>
              <w:rPr>
                <w:rFonts w:ascii="Arial" w:cs="Arial" w:eastAsia="Arial" w:hAnsi="Arial"/>
                <w:sz w:val="11"/>
                <w:szCs w:val="11"/>
                <w:color w:val="auto"/>
                <w:w w:val="89"/>
              </w:rPr>
              <w:t>2023</w:t>
            </w:r>
          </w:p>
        </w:tc>
        <w:tc>
          <w:tcPr>
            <w:tcW w:w="124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13,476</w:t>
            </w:r>
          </w:p>
        </w:tc>
        <w:tc>
          <w:tcPr>
            <w:tcW w:w="1100" w:type="dxa"/>
            <w:vAlign w:val="bottom"/>
            <w:shd w:val="clear" w:color="auto" w:fill="D9E1F2"/>
          </w:tcPr>
          <w:p>
            <w:pPr>
              <w:jc w:val="right"/>
              <w:ind w:right="126"/>
              <w:spacing w:after="0"/>
              <w:rPr>
                <w:sz w:val="20"/>
                <w:szCs w:val="20"/>
                <w:color w:val="auto"/>
              </w:rPr>
            </w:pPr>
            <w:r>
              <w:rPr>
                <w:rFonts w:ascii="Arial" w:cs="Arial" w:eastAsia="Arial" w:hAnsi="Arial"/>
                <w:sz w:val="11"/>
                <w:szCs w:val="11"/>
                <w:color w:val="auto"/>
              </w:rPr>
              <w:t>$58,890</w:t>
            </w:r>
          </w:p>
        </w:tc>
        <w:tc>
          <w:tcPr>
            <w:tcW w:w="1260" w:type="dxa"/>
            <w:vAlign w:val="bottom"/>
            <w:shd w:val="clear" w:color="auto" w:fill="D9E1F2"/>
          </w:tcPr>
          <w:p>
            <w:pPr>
              <w:jc w:val="right"/>
              <w:ind w:right="146"/>
              <w:spacing w:after="0"/>
              <w:rPr>
                <w:sz w:val="20"/>
                <w:szCs w:val="20"/>
                <w:color w:val="auto"/>
              </w:rPr>
            </w:pPr>
            <w:r>
              <w:rPr>
                <w:rFonts w:ascii="Arial" w:cs="Arial" w:eastAsia="Arial" w:hAnsi="Arial"/>
                <w:sz w:val="11"/>
                <w:szCs w:val="11"/>
                <w:color w:val="auto"/>
              </w:rPr>
              <w:t>40,428</w:t>
            </w:r>
          </w:p>
        </w:tc>
        <w:tc>
          <w:tcPr>
            <w:tcW w:w="120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$176,670</w:t>
            </w:r>
          </w:p>
        </w:tc>
        <w:tc>
          <w:tcPr>
            <w:tcW w:w="0" w:type="dxa"/>
            <w:vAlign w:val="bottom"/>
          </w:tcPr>
          <w:p>
            <w:pPr>
              <w:spacing w:after="0"/>
              <w:rPr>
                <w:sz w:val="1"/>
                <w:szCs w:val="1"/>
                <w:color w:val="auto"/>
              </w:rPr>
            </w:pPr>
          </w:p>
        </w:tc>
      </w:tr>
      <w:tr>
        <w:trPr>
          <w:trHeight w:val="153"/>
        </w:trPr>
        <w:tc>
          <w:tcPr>
            <w:tcW w:w="54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K. Presley</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18,312</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$80,023</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11,207</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$48,975</w:t>
            </w:r>
          </w:p>
        </w:tc>
        <w:tc>
          <w:tcPr>
            <w:tcW w:w="0" w:type="dxa"/>
            <w:vAlign w:val="bottom"/>
          </w:tcPr>
          <w:p>
            <w:pPr>
              <w:spacing w:after="0"/>
              <w:rPr>
                <w:sz w:val="1"/>
                <w:szCs w:val="1"/>
                <w:color w:val="auto"/>
              </w:rPr>
            </w:pPr>
          </w:p>
        </w:tc>
      </w:tr>
      <w:tr>
        <w:trPr>
          <w:trHeight w:val="140"/>
        </w:trPr>
        <w:tc>
          <w:tcPr>
            <w:tcW w:w="540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1240" w:type="dxa"/>
            <w:vAlign w:val="bottom"/>
          </w:tcPr>
          <w:p>
            <w:pPr>
              <w:jc w:val="right"/>
              <w:ind w:right="126"/>
              <w:spacing w:after="0"/>
              <w:rPr>
                <w:sz w:val="20"/>
                <w:szCs w:val="20"/>
                <w:color w:val="auto"/>
              </w:rPr>
            </w:pPr>
            <w:r>
              <w:rPr>
                <w:rFonts w:ascii="Arial" w:cs="Arial" w:eastAsia="Arial" w:hAnsi="Arial"/>
                <w:sz w:val="11"/>
                <w:szCs w:val="11"/>
                <w:color w:val="auto"/>
              </w:rPr>
              <w:t>14,576</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$63,697</w:t>
            </w:r>
          </w:p>
        </w:tc>
        <w:tc>
          <w:tcPr>
            <w:tcW w:w="1260" w:type="dxa"/>
            <w:vAlign w:val="bottom"/>
          </w:tcPr>
          <w:p>
            <w:pPr>
              <w:jc w:val="right"/>
              <w:ind w:right="146"/>
              <w:spacing w:after="0"/>
              <w:rPr>
                <w:sz w:val="20"/>
                <w:szCs w:val="20"/>
                <w:color w:val="auto"/>
              </w:rPr>
            </w:pPr>
            <w:r>
              <w:rPr>
                <w:rFonts w:ascii="Arial" w:cs="Arial" w:eastAsia="Arial" w:hAnsi="Arial"/>
                <w:sz w:val="11"/>
                <w:szCs w:val="11"/>
                <w:color w:val="auto"/>
              </w:rPr>
              <w:t>21,211</w:t>
            </w:r>
          </w:p>
        </w:tc>
        <w:tc>
          <w:tcPr>
            <w:tcW w:w="12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$92,692</w:t>
            </w:r>
          </w:p>
        </w:tc>
        <w:tc>
          <w:tcPr>
            <w:tcW w:w="0" w:type="dxa"/>
            <w:vAlign w:val="bottom"/>
          </w:tcPr>
          <w:p>
            <w:pPr>
              <w:spacing w:after="0"/>
              <w:rPr>
                <w:sz w:val="1"/>
                <w:szCs w:val="1"/>
                <w:color w:val="auto"/>
              </w:rPr>
            </w:pPr>
          </w:p>
        </w:tc>
      </w:tr>
      <w:tr>
        <w:trPr>
          <w:trHeight w:val="146"/>
        </w:trPr>
        <w:tc>
          <w:tcPr>
            <w:tcW w:w="5400" w:type="dxa"/>
            <w:vAlign w:val="bottom"/>
            <w:tcBorders>
              <w:left w:val="single" w:sz="8" w:color="auto"/>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2023</w:t>
            </w: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7,504</w:t>
            </w:r>
          </w:p>
        </w:tc>
        <w:tc>
          <w:tcPr>
            <w:tcW w:w="11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$32,792</w:t>
            </w:r>
          </w:p>
        </w:tc>
        <w:tc>
          <w:tcPr>
            <w:tcW w:w="12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22,514</w:t>
            </w:r>
          </w:p>
        </w:tc>
        <w:tc>
          <w:tcPr>
            <w:tcW w:w="12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$98,386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8" w:hanging="208"/>
        <w:spacing w:after="0"/>
        <w:tabs>
          <w:tab w:leader="none" w:pos="208" w:val="left"/>
        </w:tabs>
        <w:numPr>
          <w:ilvl w:val="0"/>
          <w:numId w:val="27"/>
        </w:numPr>
        <w:rPr>
          <w:rFonts w:ascii="Arial" w:cs="Arial" w:eastAsia="Arial" w:hAnsi="Arial"/>
          <w:sz w:val="8"/>
          <w:szCs w:val="8"/>
          <w:i w:val="1"/>
          <w:iCs w:val="1"/>
          <w:color w:val="auto"/>
        </w:rPr>
      </w:pPr>
      <w:r>
        <w:rPr>
          <w:rFonts w:ascii="Arial" w:cs="Arial" w:eastAsia="Arial" w:hAnsi="Arial"/>
          <w:sz w:val="8"/>
          <w:szCs w:val="8"/>
          <w:i w:val="1"/>
          <w:iCs w:val="1"/>
          <w:color w:val="auto"/>
        </w:rPr>
        <w:t>Market value was based on the closing price for our common stock on the last trading day of 2020 of $4.37 per share.</w:t>
      </w:r>
    </w:p>
    <w:p>
      <w:pPr>
        <w:spacing w:after="0" w:line="12" w:lineRule="exact"/>
        <w:rPr>
          <w:rFonts w:ascii="Arial" w:cs="Arial" w:eastAsia="Arial" w:hAnsi="Arial"/>
          <w:sz w:val="8"/>
          <w:szCs w:val="8"/>
          <w:i w:val="1"/>
          <w:iCs w:val="1"/>
          <w:color w:val="auto"/>
        </w:rPr>
      </w:pPr>
    </w:p>
    <w:p>
      <w:pPr>
        <w:ind w:left="208" w:hanging="208"/>
        <w:spacing w:after="0"/>
        <w:tabs>
          <w:tab w:leader="none" w:pos="208" w:val="left"/>
        </w:tabs>
        <w:numPr>
          <w:ilvl w:val="0"/>
          <w:numId w:val="27"/>
        </w:numPr>
        <w:rPr>
          <w:rFonts w:ascii="Arial" w:cs="Arial" w:eastAsia="Arial" w:hAnsi="Arial"/>
          <w:sz w:val="8"/>
          <w:szCs w:val="8"/>
          <w:i w:val="1"/>
          <w:iCs w:val="1"/>
          <w:color w:val="auto"/>
        </w:rPr>
      </w:pPr>
      <w:r>
        <w:rPr>
          <w:rFonts w:ascii="Arial" w:cs="Arial" w:eastAsia="Arial" w:hAnsi="Arial"/>
          <w:sz w:val="8"/>
          <w:szCs w:val="8"/>
          <w:i w:val="1"/>
          <w:iCs w:val="1"/>
          <w:color w:val="auto"/>
        </w:rPr>
        <w:t>This column represents the number of outstanding earned and unearned PSUs at the target award levels.</w:t>
      </w:r>
    </w:p>
    <w:p>
      <w:pPr>
        <w:spacing w:after="0" w:line="7" w:lineRule="exact"/>
        <w:rPr>
          <w:rFonts w:ascii="Arial" w:cs="Arial" w:eastAsia="Arial" w:hAnsi="Arial"/>
          <w:sz w:val="8"/>
          <w:szCs w:val="8"/>
          <w:i w:val="1"/>
          <w:iCs w:val="1"/>
          <w:color w:val="auto"/>
        </w:rPr>
      </w:pPr>
    </w:p>
    <w:p>
      <w:pPr>
        <w:ind w:left="208" w:right="60" w:hanging="208"/>
        <w:spacing w:after="0" w:line="276" w:lineRule="auto"/>
        <w:tabs>
          <w:tab w:leader="none" w:pos="207" w:val="left"/>
        </w:tabs>
        <w:numPr>
          <w:ilvl w:val="0"/>
          <w:numId w:val="27"/>
        </w:numPr>
        <w:rPr>
          <w:rFonts w:ascii="Arial" w:cs="Arial" w:eastAsia="Arial" w:hAnsi="Arial"/>
          <w:sz w:val="8"/>
          <w:szCs w:val="8"/>
          <w:i w:val="1"/>
          <w:iCs w:val="1"/>
          <w:color w:val="auto"/>
        </w:rPr>
      </w:pPr>
      <w:r>
        <w:rPr>
          <w:rFonts w:ascii="Arial" w:cs="Arial" w:eastAsia="Arial" w:hAnsi="Arial"/>
          <w:sz w:val="8"/>
          <w:szCs w:val="8"/>
          <w:i w:val="1"/>
          <w:iCs w:val="1"/>
          <w:color w:val="auto"/>
        </w:rPr>
        <w:t>This column represents the payout value for the PSUs which were earned but not vested and the projected pay out values of unearned PSUs. The projected payout values are determined by multiplying the shares earned or the target number of shares for unearned PSUs by $4.37, the closing price of our common stock on the last trading day of 2020. The actual payout for unearned PSUs will depend upon our actual performance compared to our peer group's performance at the end of each performance period and the price of our common shares on the date on which the payouts occur.</w:t>
      </w: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8"/>
          </w:cols>
          <w:pgMar w:left="292" w:top="131" w:right="299" w:bottom="1440" w:gutter="0" w:footer="0" w:header="0"/>
        </w:sectPr>
      </w:pPr>
    </w:p>
    <w:bookmarkStart w:id="36" w:name="page37"/>
    <w:bookmarkEnd w:id="36"/>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Stock Vested</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following table sets forth certain information with respect to the value of restricted stock and PSUs which vested during the year ended December 31, 2020.</w:t>
      </w:r>
    </w:p>
    <w:p>
      <w:pPr>
        <w:spacing w:after="0" w:line="156" w:lineRule="exact"/>
        <w:rPr>
          <w:sz w:val="20"/>
          <w:szCs w:val="20"/>
          <w:color w:val="auto"/>
        </w:rPr>
      </w:pPr>
    </w:p>
    <w:tbl>
      <w:tblPr>
        <w:tblLayout w:type="fixed"/>
        <w:tblInd w:w="18" w:type="dxa"/>
        <w:tblCellMar>
          <w:top w:w="0" w:type="dxa"/>
          <w:left w:w="0" w:type="dxa"/>
          <w:bottom w:w="0" w:type="dxa"/>
          <w:right w:w="0" w:type="dxa"/>
        </w:tblCellMar>
      </w:tblPr>
      <w:tr>
        <w:trPr>
          <w:trHeight w:val="171"/>
        </w:trPr>
        <w:tc>
          <w:tcPr>
            <w:tcW w:w="6660" w:type="dxa"/>
            <w:vAlign w:val="bottom"/>
            <w:tcBorders>
              <w:top w:val="single" w:sz="8" w:color="auto"/>
              <w:left w:val="single" w:sz="8" w:color="auto"/>
              <w:bottom w:val="single" w:sz="8" w:color="D9E1F2"/>
            </w:tcBorders>
            <w:shd w:val="clear" w:color="auto" w:fill="D9E1F2"/>
          </w:tcPr>
          <w:p>
            <w:pPr>
              <w:spacing w:after="0"/>
              <w:rPr>
                <w:sz w:val="14"/>
                <w:szCs w:val="14"/>
                <w:color w:val="auto"/>
              </w:rPr>
            </w:pPr>
          </w:p>
        </w:tc>
        <w:tc>
          <w:tcPr>
            <w:tcW w:w="2280" w:type="dxa"/>
            <w:vAlign w:val="bottom"/>
            <w:tcBorders>
              <w:top w:val="single" w:sz="8" w:color="auto"/>
              <w:bottom w:val="single" w:sz="8" w:color="auto"/>
            </w:tcBorders>
            <w:gridSpan w:val="2"/>
            <w:shd w:val="clear" w:color="auto" w:fill="D9E1F2"/>
          </w:tcPr>
          <w:p>
            <w:pPr>
              <w:jc w:val="right"/>
              <w:ind w:right="706"/>
              <w:spacing w:after="0"/>
              <w:rPr>
                <w:sz w:val="20"/>
                <w:szCs w:val="20"/>
                <w:color w:val="auto"/>
              </w:rPr>
            </w:pPr>
            <w:r>
              <w:rPr>
                <w:rFonts w:ascii="Arial" w:cs="Arial" w:eastAsia="Arial" w:hAnsi="Arial"/>
                <w:sz w:val="11"/>
                <w:szCs w:val="11"/>
                <w:b w:val="1"/>
                <w:bCs w:val="1"/>
                <w:color w:val="auto"/>
              </w:rPr>
              <w:t>Restricted Stock</w:t>
            </w:r>
          </w:p>
        </w:tc>
        <w:tc>
          <w:tcPr>
            <w:tcW w:w="60" w:type="dxa"/>
            <w:vAlign w:val="bottom"/>
            <w:tcBorders>
              <w:top w:val="single" w:sz="8" w:color="auto"/>
              <w:bottom w:val="single" w:sz="8" w:color="D9E1F2"/>
            </w:tcBorders>
            <w:shd w:val="clear" w:color="auto" w:fill="D9E1F2"/>
          </w:tcPr>
          <w:p>
            <w:pPr>
              <w:spacing w:after="0"/>
              <w:rPr>
                <w:sz w:val="14"/>
                <w:szCs w:val="14"/>
                <w:color w:val="auto"/>
              </w:rPr>
            </w:pPr>
          </w:p>
        </w:tc>
        <w:tc>
          <w:tcPr>
            <w:tcW w:w="2320" w:type="dxa"/>
            <w:vAlign w:val="bottom"/>
            <w:tcBorders>
              <w:top w:val="single" w:sz="8" w:color="auto"/>
              <w:bottom w:val="single" w:sz="8" w:color="auto"/>
              <w:right w:val="single" w:sz="8" w:color="auto"/>
            </w:tcBorders>
            <w:gridSpan w:val="2"/>
            <w:shd w:val="clear" w:color="auto" w:fill="D9E1F2"/>
          </w:tcPr>
          <w:p>
            <w:pPr>
              <w:ind w:left="560"/>
              <w:spacing w:after="0"/>
              <w:rPr>
                <w:sz w:val="20"/>
                <w:szCs w:val="20"/>
                <w:color w:val="auto"/>
              </w:rPr>
            </w:pPr>
            <w:r>
              <w:rPr>
                <w:rFonts w:ascii="Arial" w:cs="Arial" w:eastAsia="Arial" w:hAnsi="Arial"/>
                <w:sz w:val="11"/>
                <w:szCs w:val="11"/>
                <w:b w:val="1"/>
                <w:bCs w:val="1"/>
                <w:color w:val="auto"/>
              </w:rPr>
              <w:t>Performance Share Units</w:t>
            </w:r>
          </w:p>
        </w:tc>
        <w:tc>
          <w:tcPr>
            <w:tcW w:w="0" w:type="dxa"/>
            <w:vAlign w:val="bottom"/>
          </w:tcPr>
          <w:p>
            <w:pPr>
              <w:spacing w:after="0"/>
              <w:rPr>
                <w:sz w:val="1"/>
                <w:szCs w:val="1"/>
                <w:color w:val="auto"/>
              </w:rPr>
            </w:pPr>
          </w:p>
        </w:tc>
      </w:tr>
      <w:tr>
        <w:trPr>
          <w:trHeight w:val="79"/>
        </w:trPr>
        <w:tc>
          <w:tcPr>
            <w:tcW w:w="6660" w:type="dxa"/>
            <w:vAlign w:val="bottom"/>
            <w:tcBorders>
              <w:left w:val="single" w:sz="8" w:color="auto"/>
            </w:tcBorders>
            <w:shd w:val="clear" w:color="auto" w:fill="D9E1F2"/>
          </w:tcPr>
          <w:p>
            <w:pPr>
              <w:spacing w:after="0"/>
              <w:rPr>
                <w:sz w:val="6"/>
                <w:szCs w:val="6"/>
                <w:color w:val="auto"/>
              </w:rPr>
            </w:pPr>
          </w:p>
        </w:tc>
        <w:tc>
          <w:tcPr>
            <w:tcW w:w="1260" w:type="dxa"/>
            <w:vAlign w:val="bottom"/>
            <w:shd w:val="clear" w:color="auto" w:fill="D9E1F2"/>
          </w:tcPr>
          <w:p>
            <w:pPr>
              <w:jc w:val="center"/>
              <w:ind w:right="147"/>
              <w:spacing w:after="0" w:line="79" w:lineRule="exact"/>
              <w:rPr>
                <w:sz w:val="20"/>
                <w:szCs w:val="20"/>
                <w:color w:val="auto"/>
              </w:rPr>
            </w:pPr>
            <w:r>
              <w:rPr>
                <w:rFonts w:ascii="Arial" w:cs="Arial" w:eastAsia="Arial" w:hAnsi="Arial"/>
                <w:sz w:val="9"/>
                <w:szCs w:val="9"/>
                <w:b w:val="1"/>
                <w:bCs w:val="1"/>
                <w:color w:val="auto"/>
              </w:rPr>
              <w:t>Number of</w:t>
            </w:r>
          </w:p>
        </w:tc>
        <w:tc>
          <w:tcPr>
            <w:tcW w:w="1080" w:type="dxa"/>
            <w:vAlign w:val="bottom"/>
            <w:gridSpan w:val="2"/>
            <w:vMerge w:val="restart"/>
            <w:shd w:val="clear" w:color="auto" w:fill="D9E1F2"/>
          </w:tcPr>
          <w:p>
            <w:pPr>
              <w:jc w:val="center"/>
              <w:ind w:right="180"/>
              <w:spacing w:after="0"/>
              <w:rPr>
                <w:sz w:val="20"/>
                <w:szCs w:val="20"/>
                <w:color w:val="auto"/>
              </w:rPr>
            </w:pPr>
            <w:r>
              <w:rPr>
                <w:rFonts w:ascii="Arial" w:cs="Arial" w:eastAsia="Arial" w:hAnsi="Arial"/>
                <w:sz w:val="11"/>
                <w:szCs w:val="11"/>
                <w:b w:val="1"/>
                <w:bCs w:val="1"/>
                <w:color w:val="auto"/>
                <w:w w:val="88"/>
              </w:rPr>
              <w:t>Value</w:t>
            </w:r>
          </w:p>
        </w:tc>
        <w:tc>
          <w:tcPr>
            <w:tcW w:w="1260" w:type="dxa"/>
            <w:vAlign w:val="bottom"/>
            <w:shd w:val="clear" w:color="auto" w:fill="D9E1F2"/>
          </w:tcPr>
          <w:p>
            <w:pPr>
              <w:jc w:val="center"/>
              <w:ind w:right="107"/>
              <w:spacing w:after="0" w:line="79" w:lineRule="exact"/>
              <w:rPr>
                <w:sz w:val="20"/>
                <w:szCs w:val="20"/>
                <w:color w:val="auto"/>
              </w:rPr>
            </w:pPr>
            <w:r>
              <w:rPr>
                <w:rFonts w:ascii="Arial" w:cs="Arial" w:eastAsia="Arial" w:hAnsi="Arial"/>
                <w:sz w:val="9"/>
                <w:szCs w:val="9"/>
                <w:b w:val="1"/>
                <w:bCs w:val="1"/>
                <w:color w:val="auto"/>
              </w:rPr>
              <w:t>Number of</w:t>
            </w:r>
          </w:p>
        </w:tc>
        <w:tc>
          <w:tcPr>
            <w:tcW w:w="1060" w:type="dxa"/>
            <w:vAlign w:val="bottom"/>
            <w:tcBorders>
              <w:right w:val="single" w:sz="8" w:color="auto"/>
            </w:tcBorders>
            <w:vMerge w:val="restart"/>
            <w:shd w:val="clear" w:color="auto" w:fill="D9E1F2"/>
          </w:tcPr>
          <w:p>
            <w:pPr>
              <w:jc w:val="center"/>
              <w:ind w:right="66"/>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08"/>
        </w:trPr>
        <w:tc>
          <w:tcPr>
            <w:tcW w:w="6660" w:type="dxa"/>
            <w:vAlign w:val="bottom"/>
            <w:tcBorders>
              <w:left w:val="single" w:sz="8" w:color="auto"/>
            </w:tcBorders>
            <w:shd w:val="clear" w:color="auto" w:fill="D9E1F2"/>
          </w:tcPr>
          <w:p>
            <w:pPr>
              <w:spacing w:after="0"/>
              <w:rPr>
                <w:sz w:val="9"/>
                <w:szCs w:val="9"/>
                <w:color w:val="auto"/>
              </w:rPr>
            </w:pPr>
          </w:p>
        </w:tc>
        <w:tc>
          <w:tcPr>
            <w:tcW w:w="1260" w:type="dxa"/>
            <w:vAlign w:val="bottom"/>
            <w:shd w:val="clear" w:color="auto" w:fill="D9E1F2"/>
          </w:tcPr>
          <w:p>
            <w:pPr>
              <w:jc w:val="center"/>
              <w:ind w:right="147"/>
              <w:spacing w:after="0" w:line="108" w:lineRule="exact"/>
              <w:rPr>
                <w:sz w:val="20"/>
                <w:szCs w:val="20"/>
                <w:color w:val="auto"/>
              </w:rPr>
            </w:pPr>
            <w:r>
              <w:rPr>
                <w:rFonts w:ascii="Arial" w:cs="Arial" w:eastAsia="Arial" w:hAnsi="Arial"/>
                <w:sz w:val="11"/>
                <w:szCs w:val="11"/>
                <w:b w:val="1"/>
                <w:bCs w:val="1"/>
                <w:color w:val="auto"/>
                <w:w w:val="81"/>
              </w:rPr>
              <w:t>Shares</w:t>
            </w:r>
          </w:p>
        </w:tc>
        <w:tc>
          <w:tcPr>
            <w:tcW w:w="1080" w:type="dxa"/>
            <w:vAlign w:val="bottom"/>
            <w:gridSpan w:val="2"/>
            <w:vMerge w:val="continue"/>
            <w:shd w:val="clear" w:color="auto" w:fill="D9E1F2"/>
          </w:tcPr>
          <w:p>
            <w:pPr>
              <w:spacing w:after="0"/>
              <w:rPr>
                <w:sz w:val="9"/>
                <w:szCs w:val="9"/>
                <w:color w:val="auto"/>
              </w:rPr>
            </w:pPr>
          </w:p>
        </w:tc>
        <w:tc>
          <w:tcPr>
            <w:tcW w:w="1260" w:type="dxa"/>
            <w:vAlign w:val="bottom"/>
            <w:shd w:val="clear" w:color="auto" w:fill="D9E1F2"/>
          </w:tcPr>
          <w:p>
            <w:pPr>
              <w:jc w:val="center"/>
              <w:ind w:right="107"/>
              <w:spacing w:after="0" w:line="108" w:lineRule="exact"/>
              <w:rPr>
                <w:sz w:val="20"/>
                <w:szCs w:val="20"/>
                <w:color w:val="auto"/>
              </w:rPr>
            </w:pPr>
            <w:r>
              <w:rPr>
                <w:rFonts w:ascii="Arial" w:cs="Arial" w:eastAsia="Arial" w:hAnsi="Arial"/>
                <w:sz w:val="11"/>
                <w:szCs w:val="11"/>
                <w:b w:val="1"/>
                <w:bCs w:val="1"/>
                <w:color w:val="auto"/>
                <w:w w:val="81"/>
              </w:rPr>
              <w:t>Shares</w:t>
            </w:r>
          </w:p>
        </w:tc>
        <w:tc>
          <w:tcPr>
            <w:tcW w:w="1060" w:type="dxa"/>
            <w:vAlign w:val="bottom"/>
            <w:tcBorders>
              <w:right w:val="single" w:sz="8" w:color="auto"/>
            </w:tcBorders>
            <w:vMerge w:val="continue"/>
            <w:shd w:val="clear" w:color="auto" w:fill="D9E1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60" w:type="dxa"/>
            <w:vAlign w:val="bottom"/>
            <w:tcBorders>
              <w:left w:val="single" w:sz="8" w:color="auto"/>
            </w:tcBorders>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260" w:type="dxa"/>
            <w:vAlign w:val="bottom"/>
            <w:shd w:val="clear" w:color="auto" w:fill="D9E1F2"/>
          </w:tcPr>
          <w:p>
            <w:pPr>
              <w:jc w:val="center"/>
              <w:ind w:right="147"/>
              <w:spacing w:after="0" w:line="108" w:lineRule="exact"/>
              <w:rPr>
                <w:sz w:val="20"/>
                <w:szCs w:val="20"/>
                <w:color w:val="auto"/>
              </w:rPr>
            </w:pPr>
            <w:r>
              <w:rPr>
                <w:rFonts w:ascii="Arial" w:cs="Arial" w:eastAsia="Arial" w:hAnsi="Arial"/>
                <w:sz w:val="11"/>
                <w:szCs w:val="11"/>
                <w:b w:val="1"/>
                <w:bCs w:val="1"/>
                <w:color w:val="auto"/>
                <w:w w:val="90"/>
              </w:rPr>
              <w:t>Acquired on</w:t>
            </w:r>
          </w:p>
        </w:tc>
        <w:tc>
          <w:tcPr>
            <w:tcW w:w="1080" w:type="dxa"/>
            <w:vAlign w:val="bottom"/>
            <w:gridSpan w:val="2"/>
            <w:shd w:val="clear" w:color="auto" w:fill="D9E1F2"/>
          </w:tcPr>
          <w:p>
            <w:pPr>
              <w:jc w:val="center"/>
              <w:ind w:right="180"/>
              <w:spacing w:after="0" w:line="108" w:lineRule="exact"/>
              <w:rPr>
                <w:sz w:val="20"/>
                <w:szCs w:val="20"/>
                <w:color w:val="auto"/>
              </w:rPr>
            </w:pPr>
            <w:r>
              <w:rPr>
                <w:rFonts w:ascii="Arial" w:cs="Arial" w:eastAsia="Arial" w:hAnsi="Arial"/>
                <w:sz w:val="11"/>
                <w:szCs w:val="11"/>
                <w:b w:val="1"/>
                <w:bCs w:val="1"/>
                <w:color w:val="auto"/>
                <w:w w:val="85"/>
              </w:rPr>
              <w:t>Realized</w:t>
            </w:r>
          </w:p>
        </w:tc>
        <w:tc>
          <w:tcPr>
            <w:tcW w:w="1260" w:type="dxa"/>
            <w:vAlign w:val="bottom"/>
            <w:shd w:val="clear" w:color="auto" w:fill="D9E1F2"/>
          </w:tcPr>
          <w:p>
            <w:pPr>
              <w:jc w:val="center"/>
              <w:ind w:right="107"/>
              <w:spacing w:after="0" w:line="108" w:lineRule="exact"/>
              <w:rPr>
                <w:sz w:val="20"/>
                <w:szCs w:val="20"/>
                <w:color w:val="auto"/>
              </w:rPr>
            </w:pPr>
            <w:r>
              <w:rPr>
                <w:rFonts w:ascii="Arial" w:cs="Arial" w:eastAsia="Arial" w:hAnsi="Arial"/>
                <w:sz w:val="11"/>
                <w:szCs w:val="11"/>
                <w:b w:val="1"/>
                <w:bCs w:val="1"/>
                <w:color w:val="auto"/>
                <w:w w:val="90"/>
              </w:rPr>
              <w:t>Acquired on</w:t>
            </w:r>
          </w:p>
        </w:tc>
        <w:tc>
          <w:tcPr>
            <w:tcW w:w="1060" w:type="dxa"/>
            <w:vAlign w:val="bottom"/>
            <w:tcBorders>
              <w:right w:val="single" w:sz="8" w:color="auto"/>
            </w:tcBorders>
            <w:shd w:val="clear" w:color="auto" w:fill="D9E1F2"/>
          </w:tcPr>
          <w:p>
            <w:pPr>
              <w:jc w:val="center"/>
              <w:ind w:right="66"/>
              <w:spacing w:after="0" w:line="108" w:lineRule="exact"/>
              <w:rPr>
                <w:sz w:val="20"/>
                <w:szCs w:val="20"/>
                <w:color w:val="auto"/>
              </w:rPr>
            </w:pPr>
            <w:r>
              <w:rPr>
                <w:rFonts w:ascii="Arial" w:cs="Arial" w:eastAsia="Arial" w:hAnsi="Arial"/>
                <w:sz w:val="11"/>
                <w:szCs w:val="11"/>
                <w:b w:val="1"/>
                <w:bCs w:val="1"/>
                <w:color w:val="auto"/>
                <w:w w:val="88"/>
              </w:rPr>
              <w:t>Realized on</w:t>
            </w:r>
          </w:p>
        </w:tc>
        <w:tc>
          <w:tcPr>
            <w:tcW w:w="0" w:type="dxa"/>
            <w:vAlign w:val="bottom"/>
          </w:tcPr>
          <w:p>
            <w:pPr>
              <w:spacing w:after="0"/>
              <w:rPr>
                <w:sz w:val="1"/>
                <w:szCs w:val="1"/>
                <w:color w:val="auto"/>
              </w:rPr>
            </w:pPr>
          </w:p>
        </w:tc>
      </w:tr>
      <w:tr>
        <w:trPr>
          <w:trHeight w:val="142"/>
        </w:trPr>
        <w:tc>
          <w:tcPr>
            <w:tcW w:w="666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260" w:type="dxa"/>
            <w:vAlign w:val="bottom"/>
            <w:tcBorders>
              <w:bottom w:val="single" w:sz="8" w:color="auto"/>
            </w:tcBorders>
            <w:shd w:val="clear" w:color="auto" w:fill="D9E1F2"/>
          </w:tcPr>
          <w:p>
            <w:pPr>
              <w:jc w:val="center"/>
              <w:ind w:right="107"/>
              <w:spacing w:after="0"/>
              <w:rPr>
                <w:sz w:val="20"/>
                <w:szCs w:val="20"/>
                <w:color w:val="auto"/>
              </w:rPr>
            </w:pPr>
            <w:r>
              <w:rPr>
                <w:rFonts w:ascii="Arial" w:cs="Arial" w:eastAsia="Arial" w:hAnsi="Arial"/>
                <w:sz w:val="11"/>
                <w:szCs w:val="11"/>
                <w:b w:val="1"/>
                <w:bCs w:val="1"/>
                <w:color w:val="auto"/>
                <w:w w:val="88"/>
              </w:rPr>
              <w:t>Vesting (#)</w:t>
            </w:r>
          </w:p>
        </w:tc>
        <w:tc>
          <w:tcPr>
            <w:tcW w:w="1080" w:type="dxa"/>
            <w:vAlign w:val="bottom"/>
            <w:tcBorders>
              <w:bottom w:val="single" w:sz="8" w:color="auto"/>
            </w:tcBorders>
            <w:gridSpan w:val="2"/>
            <w:shd w:val="clear" w:color="auto" w:fill="D9E1F2"/>
          </w:tcPr>
          <w:p>
            <w:pPr>
              <w:jc w:val="center"/>
              <w:ind w:right="160"/>
              <w:spacing w:after="0"/>
              <w:rPr>
                <w:sz w:val="20"/>
                <w:szCs w:val="20"/>
                <w:color w:val="auto"/>
              </w:rPr>
            </w:pPr>
            <w:r>
              <w:rPr>
                <w:rFonts w:ascii="Arial" w:cs="Arial" w:eastAsia="Arial" w:hAnsi="Arial"/>
                <w:sz w:val="11"/>
                <w:szCs w:val="11"/>
                <w:b w:val="1"/>
                <w:bCs w:val="1"/>
                <w:color w:val="auto"/>
                <w:w w:val="85"/>
              </w:rPr>
              <w:t>on Vesting</w:t>
            </w:r>
          </w:p>
        </w:tc>
        <w:tc>
          <w:tcPr>
            <w:tcW w:w="1260" w:type="dxa"/>
            <w:vAlign w:val="bottom"/>
            <w:tcBorders>
              <w:bottom w:val="single" w:sz="8" w:color="auto"/>
            </w:tcBorders>
            <w:shd w:val="clear" w:color="auto" w:fill="D9E1F2"/>
          </w:tcPr>
          <w:p>
            <w:pPr>
              <w:jc w:val="center"/>
              <w:ind w:right="87"/>
              <w:spacing w:after="0"/>
              <w:rPr>
                <w:sz w:val="20"/>
                <w:szCs w:val="20"/>
                <w:color w:val="auto"/>
              </w:rPr>
            </w:pPr>
            <w:r>
              <w:rPr>
                <w:rFonts w:ascii="Arial" w:cs="Arial" w:eastAsia="Arial" w:hAnsi="Arial"/>
                <w:sz w:val="11"/>
                <w:szCs w:val="11"/>
                <w:b w:val="1"/>
                <w:bCs w:val="1"/>
                <w:color w:val="auto"/>
                <w:w w:val="85"/>
              </w:rPr>
              <w:t>Vesting (#)</w:t>
            </w:r>
          </w:p>
        </w:tc>
        <w:tc>
          <w:tcPr>
            <w:tcW w:w="1060" w:type="dxa"/>
            <w:vAlign w:val="bottom"/>
            <w:tcBorders>
              <w:bottom w:val="single" w:sz="8" w:color="auto"/>
              <w:right w:val="single" w:sz="8" w:color="auto"/>
            </w:tcBorders>
            <w:shd w:val="clear" w:color="auto" w:fill="D9E1F2"/>
          </w:tcPr>
          <w:p>
            <w:pPr>
              <w:jc w:val="center"/>
              <w:ind w:right="26"/>
              <w:spacing w:after="0"/>
              <w:rPr>
                <w:sz w:val="20"/>
                <w:szCs w:val="20"/>
                <w:color w:val="auto"/>
              </w:rPr>
            </w:pPr>
            <w:r>
              <w:rPr>
                <w:rFonts w:ascii="Arial" w:cs="Arial" w:eastAsia="Arial" w:hAnsi="Arial"/>
                <w:sz w:val="11"/>
                <w:szCs w:val="11"/>
                <w:b w:val="1"/>
                <w:bCs w:val="1"/>
                <w:color w:val="auto"/>
                <w:w w:val="85"/>
              </w:rPr>
              <w:t>Vesting</w:t>
            </w:r>
          </w:p>
        </w:tc>
        <w:tc>
          <w:tcPr>
            <w:tcW w:w="0" w:type="dxa"/>
            <w:vAlign w:val="bottom"/>
          </w:tcPr>
          <w:p>
            <w:pPr>
              <w:spacing w:after="0"/>
              <w:rPr>
                <w:sz w:val="1"/>
                <w:szCs w:val="1"/>
                <w:color w:val="auto"/>
              </w:rPr>
            </w:pPr>
          </w:p>
        </w:tc>
      </w:tr>
      <w:tr>
        <w:trPr>
          <w:trHeight w:val="144"/>
        </w:trPr>
        <w:tc>
          <w:tcPr>
            <w:tcW w:w="66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M. Jay Allison</w:t>
            </w:r>
          </w:p>
        </w:tc>
        <w:tc>
          <w:tcPr>
            <w:tcW w:w="1260" w:type="dxa"/>
            <w:vAlign w:val="bottom"/>
          </w:tcPr>
          <w:p>
            <w:pPr>
              <w:jc w:val="right"/>
              <w:ind w:right="147"/>
              <w:spacing w:after="0"/>
              <w:rPr>
                <w:sz w:val="20"/>
                <w:szCs w:val="20"/>
                <w:color w:val="auto"/>
              </w:rPr>
            </w:pPr>
            <w:r>
              <w:rPr>
                <w:rFonts w:ascii="Arial" w:cs="Arial" w:eastAsia="Arial" w:hAnsi="Arial"/>
                <w:sz w:val="11"/>
                <w:szCs w:val="11"/>
                <w:color w:val="auto"/>
              </w:rPr>
              <w:t>122,277</w:t>
            </w:r>
          </w:p>
        </w:tc>
        <w:tc>
          <w:tcPr>
            <w:tcW w:w="1020" w:type="dxa"/>
            <w:vAlign w:val="bottom"/>
          </w:tcPr>
          <w:p>
            <w:pPr>
              <w:jc w:val="right"/>
              <w:spacing w:after="0"/>
              <w:rPr>
                <w:sz w:val="20"/>
                <w:szCs w:val="20"/>
                <w:color w:val="auto"/>
              </w:rPr>
            </w:pPr>
            <w:r>
              <w:rPr>
                <w:rFonts w:ascii="Arial" w:cs="Arial" w:eastAsia="Arial" w:hAnsi="Arial"/>
                <w:sz w:val="11"/>
                <w:szCs w:val="11"/>
                <w:color w:val="auto"/>
              </w:rPr>
              <w:t>$753,925</w:t>
            </w:r>
          </w:p>
        </w:tc>
        <w:tc>
          <w:tcPr>
            <w:tcW w:w="60" w:type="dxa"/>
            <w:vAlign w:val="bottom"/>
          </w:tcPr>
          <w:p>
            <w:pPr>
              <w:spacing w:after="0"/>
              <w:rPr>
                <w:sz w:val="12"/>
                <w:szCs w:val="12"/>
                <w:color w:val="auto"/>
              </w:rPr>
            </w:pPr>
          </w:p>
        </w:tc>
        <w:tc>
          <w:tcPr>
            <w:tcW w:w="1260" w:type="dxa"/>
            <w:vAlign w:val="bottom"/>
          </w:tcPr>
          <w:p>
            <w:pPr>
              <w:ind w:left="960"/>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66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6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260" w:type="dxa"/>
            <w:vAlign w:val="bottom"/>
            <w:shd w:val="clear" w:color="auto" w:fill="D9E1F2"/>
          </w:tcPr>
          <w:p>
            <w:pPr>
              <w:jc w:val="right"/>
              <w:ind w:right="147"/>
              <w:spacing w:after="0"/>
              <w:rPr>
                <w:sz w:val="20"/>
                <w:szCs w:val="20"/>
                <w:color w:val="auto"/>
              </w:rPr>
            </w:pPr>
            <w:r>
              <w:rPr>
                <w:rFonts w:ascii="Arial" w:cs="Arial" w:eastAsia="Arial" w:hAnsi="Arial"/>
                <w:sz w:val="11"/>
                <w:szCs w:val="11"/>
                <w:color w:val="auto"/>
              </w:rPr>
              <w:t>83,000</w:t>
            </w:r>
          </w:p>
        </w:tc>
        <w:tc>
          <w:tcPr>
            <w:tcW w:w="1020" w:type="dxa"/>
            <w:vAlign w:val="bottom"/>
            <w:shd w:val="clear" w:color="auto" w:fill="D9E1F2"/>
          </w:tcPr>
          <w:p>
            <w:pPr>
              <w:jc w:val="right"/>
              <w:spacing w:after="0"/>
              <w:rPr>
                <w:sz w:val="20"/>
                <w:szCs w:val="20"/>
                <w:color w:val="auto"/>
              </w:rPr>
            </w:pPr>
            <w:r>
              <w:rPr>
                <w:rFonts w:ascii="Arial" w:cs="Arial" w:eastAsia="Arial" w:hAnsi="Arial"/>
                <w:sz w:val="11"/>
                <w:szCs w:val="11"/>
                <w:color w:val="auto"/>
              </w:rPr>
              <w:t>$511,754</w:t>
            </w:r>
          </w:p>
        </w:tc>
        <w:tc>
          <w:tcPr>
            <w:tcW w:w="60" w:type="dxa"/>
            <w:vAlign w:val="bottom"/>
            <w:shd w:val="clear" w:color="auto" w:fill="D9E1F2"/>
          </w:tcPr>
          <w:p>
            <w:pPr>
              <w:spacing w:after="0"/>
              <w:rPr>
                <w:sz w:val="13"/>
                <w:szCs w:val="13"/>
                <w:color w:val="auto"/>
              </w:rPr>
            </w:pPr>
          </w:p>
        </w:tc>
        <w:tc>
          <w:tcPr>
            <w:tcW w:w="1260" w:type="dxa"/>
            <w:vAlign w:val="bottom"/>
            <w:shd w:val="clear" w:color="auto" w:fill="D9E1F2"/>
          </w:tcPr>
          <w:p>
            <w:pPr>
              <w:ind w:left="960"/>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shd w:val="clear" w:color="auto" w:fill="D9E1F2"/>
          </w:tcPr>
          <w:p>
            <w:pPr>
              <w:ind w:left="8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666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260" w:type="dxa"/>
            <w:vAlign w:val="bottom"/>
            <w:shd w:val="clear" w:color="auto" w:fill="D9E1F2"/>
          </w:tcPr>
          <w:p>
            <w:pPr>
              <w:spacing w:after="0"/>
              <w:rPr>
                <w:sz w:val="12"/>
                <w:szCs w:val="12"/>
                <w:color w:val="auto"/>
              </w:rPr>
            </w:pPr>
          </w:p>
        </w:tc>
        <w:tc>
          <w:tcPr>
            <w:tcW w:w="1020" w:type="dxa"/>
            <w:vAlign w:val="bottom"/>
            <w:shd w:val="clear" w:color="auto" w:fill="D9E1F2"/>
          </w:tcPr>
          <w:p>
            <w:pPr>
              <w:spacing w:after="0"/>
              <w:rPr>
                <w:sz w:val="12"/>
                <w:szCs w:val="12"/>
                <w:color w:val="auto"/>
              </w:rPr>
            </w:pPr>
          </w:p>
        </w:tc>
        <w:tc>
          <w:tcPr>
            <w:tcW w:w="6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S. Harrison</w:t>
            </w:r>
          </w:p>
        </w:tc>
        <w:tc>
          <w:tcPr>
            <w:tcW w:w="1260" w:type="dxa"/>
            <w:vAlign w:val="bottom"/>
          </w:tcPr>
          <w:p>
            <w:pPr>
              <w:jc w:val="right"/>
              <w:ind w:right="147"/>
              <w:spacing w:after="0"/>
              <w:rPr>
                <w:sz w:val="20"/>
                <w:szCs w:val="20"/>
                <w:color w:val="auto"/>
              </w:rPr>
            </w:pPr>
            <w:r>
              <w:rPr>
                <w:rFonts w:ascii="Arial" w:cs="Arial" w:eastAsia="Arial" w:hAnsi="Arial"/>
                <w:sz w:val="11"/>
                <w:szCs w:val="11"/>
                <w:color w:val="auto"/>
              </w:rPr>
              <w:t>38,118</w:t>
            </w:r>
          </w:p>
        </w:tc>
        <w:tc>
          <w:tcPr>
            <w:tcW w:w="1020" w:type="dxa"/>
            <w:vAlign w:val="bottom"/>
          </w:tcPr>
          <w:p>
            <w:pPr>
              <w:jc w:val="right"/>
              <w:spacing w:after="0"/>
              <w:rPr>
                <w:sz w:val="20"/>
                <w:szCs w:val="20"/>
                <w:color w:val="auto"/>
              </w:rPr>
            </w:pPr>
            <w:r>
              <w:rPr>
                <w:rFonts w:ascii="Arial" w:cs="Arial" w:eastAsia="Arial" w:hAnsi="Arial"/>
                <w:sz w:val="11"/>
                <w:szCs w:val="11"/>
                <w:color w:val="auto"/>
              </w:rPr>
              <w:t>$233,665</w:t>
            </w:r>
          </w:p>
        </w:tc>
        <w:tc>
          <w:tcPr>
            <w:tcW w:w="60" w:type="dxa"/>
            <w:vAlign w:val="bottom"/>
          </w:tcPr>
          <w:p>
            <w:pPr>
              <w:spacing w:after="0"/>
              <w:rPr>
                <w:sz w:val="13"/>
                <w:szCs w:val="13"/>
                <w:color w:val="auto"/>
              </w:rPr>
            </w:pPr>
          </w:p>
        </w:tc>
        <w:tc>
          <w:tcPr>
            <w:tcW w:w="1260" w:type="dxa"/>
            <w:vAlign w:val="bottom"/>
          </w:tcPr>
          <w:p>
            <w:pPr>
              <w:ind w:left="960"/>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66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6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260" w:type="dxa"/>
            <w:vAlign w:val="bottom"/>
            <w:shd w:val="clear" w:color="auto" w:fill="D9E1F2"/>
          </w:tcPr>
          <w:p>
            <w:pPr>
              <w:jc w:val="right"/>
              <w:ind w:right="147"/>
              <w:spacing w:after="0"/>
              <w:rPr>
                <w:sz w:val="20"/>
                <w:szCs w:val="20"/>
                <w:color w:val="auto"/>
              </w:rPr>
            </w:pPr>
            <w:r>
              <w:rPr>
                <w:rFonts w:ascii="Arial" w:cs="Arial" w:eastAsia="Arial" w:hAnsi="Arial"/>
                <w:sz w:val="11"/>
                <w:szCs w:val="11"/>
                <w:color w:val="auto"/>
              </w:rPr>
              <w:t>12,855</w:t>
            </w:r>
          </w:p>
        </w:tc>
        <w:tc>
          <w:tcPr>
            <w:tcW w:w="1020" w:type="dxa"/>
            <w:vAlign w:val="bottom"/>
            <w:shd w:val="clear" w:color="auto" w:fill="D9E1F2"/>
          </w:tcPr>
          <w:p>
            <w:pPr>
              <w:jc w:val="right"/>
              <w:spacing w:after="0"/>
              <w:rPr>
                <w:sz w:val="20"/>
                <w:szCs w:val="20"/>
                <w:color w:val="auto"/>
              </w:rPr>
            </w:pPr>
            <w:r>
              <w:rPr>
                <w:rFonts w:ascii="Arial" w:cs="Arial" w:eastAsia="Arial" w:hAnsi="Arial"/>
                <w:sz w:val="11"/>
                <w:szCs w:val="11"/>
                <w:color w:val="auto"/>
              </w:rPr>
              <w:t>$77,516</w:t>
            </w:r>
          </w:p>
        </w:tc>
        <w:tc>
          <w:tcPr>
            <w:tcW w:w="60" w:type="dxa"/>
            <w:vAlign w:val="bottom"/>
            <w:shd w:val="clear" w:color="auto" w:fill="D9E1F2"/>
          </w:tcPr>
          <w:p>
            <w:pPr>
              <w:spacing w:after="0"/>
              <w:rPr>
                <w:sz w:val="13"/>
                <w:szCs w:val="13"/>
                <w:color w:val="auto"/>
              </w:rPr>
            </w:pPr>
          </w:p>
        </w:tc>
        <w:tc>
          <w:tcPr>
            <w:tcW w:w="1260" w:type="dxa"/>
            <w:vAlign w:val="bottom"/>
            <w:shd w:val="clear" w:color="auto" w:fill="D9E1F2"/>
          </w:tcPr>
          <w:p>
            <w:pPr>
              <w:ind w:left="960"/>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shd w:val="clear" w:color="auto" w:fill="D9E1F2"/>
          </w:tcPr>
          <w:p>
            <w:pPr>
              <w:ind w:left="8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666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260" w:type="dxa"/>
            <w:vAlign w:val="bottom"/>
            <w:shd w:val="clear" w:color="auto" w:fill="D9E1F2"/>
          </w:tcPr>
          <w:p>
            <w:pPr>
              <w:spacing w:after="0"/>
              <w:rPr>
                <w:sz w:val="12"/>
                <w:szCs w:val="12"/>
                <w:color w:val="auto"/>
              </w:rPr>
            </w:pPr>
          </w:p>
        </w:tc>
        <w:tc>
          <w:tcPr>
            <w:tcW w:w="1020" w:type="dxa"/>
            <w:vAlign w:val="bottom"/>
            <w:shd w:val="clear" w:color="auto" w:fill="D9E1F2"/>
          </w:tcPr>
          <w:p>
            <w:pPr>
              <w:spacing w:after="0"/>
              <w:rPr>
                <w:sz w:val="12"/>
                <w:szCs w:val="12"/>
                <w:color w:val="auto"/>
              </w:rPr>
            </w:pPr>
          </w:p>
        </w:tc>
        <w:tc>
          <w:tcPr>
            <w:tcW w:w="60" w:type="dxa"/>
            <w:vAlign w:val="bottom"/>
            <w:shd w:val="clear" w:color="auto" w:fill="D9E1F2"/>
          </w:tcPr>
          <w:p>
            <w:pPr>
              <w:spacing w:after="0"/>
              <w:rPr>
                <w:sz w:val="12"/>
                <w:szCs w:val="12"/>
                <w:color w:val="auto"/>
              </w:rPr>
            </w:pPr>
          </w:p>
        </w:tc>
        <w:tc>
          <w:tcPr>
            <w:tcW w:w="126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K. Presley</w:t>
            </w:r>
          </w:p>
        </w:tc>
        <w:tc>
          <w:tcPr>
            <w:tcW w:w="1260" w:type="dxa"/>
            <w:vAlign w:val="bottom"/>
          </w:tcPr>
          <w:p>
            <w:pPr>
              <w:jc w:val="right"/>
              <w:ind w:right="147"/>
              <w:spacing w:after="0"/>
              <w:rPr>
                <w:sz w:val="20"/>
                <w:szCs w:val="20"/>
                <w:color w:val="auto"/>
              </w:rPr>
            </w:pPr>
            <w:r>
              <w:rPr>
                <w:rFonts w:ascii="Arial" w:cs="Arial" w:eastAsia="Arial" w:hAnsi="Arial"/>
                <w:sz w:val="11"/>
                <w:szCs w:val="11"/>
                <w:color w:val="auto"/>
              </w:rPr>
              <w:t>10,805</w:t>
            </w:r>
          </w:p>
        </w:tc>
        <w:tc>
          <w:tcPr>
            <w:tcW w:w="1020" w:type="dxa"/>
            <w:vAlign w:val="bottom"/>
          </w:tcPr>
          <w:p>
            <w:pPr>
              <w:jc w:val="right"/>
              <w:spacing w:after="0"/>
              <w:rPr>
                <w:sz w:val="20"/>
                <w:szCs w:val="20"/>
                <w:color w:val="auto"/>
              </w:rPr>
            </w:pPr>
            <w:r>
              <w:rPr>
                <w:rFonts w:ascii="Arial" w:cs="Arial" w:eastAsia="Arial" w:hAnsi="Arial"/>
                <w:sz w:val="11"/>
                <w:szCs w:val="11"/>
                <w:color w:val="auto"/>
              </w:rPr>
              <w:t>$66,461</w:t>
            </w:r>
          </w:p>
        </w:tc>
        <w:tc>
          <w:tcPr>
            <w:tcW w:w="60" w:type="dxa"/>
            <w:vAlign w:val="bottom"/>
          </w:tcPr>
          <w:p>
            <w:pPr>
              <w:spacing w:after="0"/>
              <w:rPr>
                <w:sz w:val="13"/>
                <w:szCs w:val="13"/>
                <w:color w:val="auto"/>
              </w:rPr>
            </w:pPr>
          </w:p>
        </w:tc>
        <w:tc>
          <w:tcPr>
            <w:tcW w:w="1260" w:type="dxa"/>
            <w:vAlign w:val="bottom"/>
          </w:tcPr>
          <w:p>
            <w:pPr>
              <w:ind w:left="960"/>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6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Arial" w:cs="Arial" w:eastAsia="Arial" w:hAnsi="Arial"/>
          <w:sz w:val="13"/>
          <w:szCs w:val="13"/>
          <w:color w:val="auto"/>
        </w:rPr>
        <w:t>In 2020, the compensation committee also made the following equity-based awards under the 2019 Plan to the NEOs:</w:t>
      </w:r>
    </w:p>
    <w:p>
      <w:pPr>
        <w:spacing w:after="0" w:line="138" w:lineRule="exact"/>
        <w:rPr>
          <w:sz w:val="20"/>
          <w:szCs w:val="20"/>
          <w:color w:val="auto"/>
        </w:rPr>
      </w:pPr>
    </w:p>
    <w:tbl>
      <w:tblPr>
        <w:tblLayout w:type="fixed"/>
        <w:tblInd w:w="18" w:type="dxa"/>
        <w:tblCellMar>
          <w:top w:w="0" w:type="dxa"/>
          <w:left w:w="0" w:type="dxa"/>
          <w:bottom w:w="0" w:type="dxa"/>
          <w:right w:w="0" w:type="dxa"/>
        </w:tblCellMar>
      </w:tblPr>
      <w:tr>
        <w:trPr>
          <w:trHeight w:val="225"/>
        </w:trPr>
        <w:tc>
          <w:tcPr>
            <w:tcW w:w="4760" w:type="dxa"/>
            <w:vAlign w:val="bottom"/>
            <w:tcBorders>
              <w:top w:val="single" w:sz="8" w:color="auto"/>
              <w:left w:val="single" w:sz="8" w:color="auto"/>
            </w:tcBorders>
            <w:shd w:val="clear" w:color="auto" w:fill="D9E1F2"/>
          </w:tcPr>
          <w:p>
            <w:pPr>
              <w:spacing w:after="0"/>
              <w:rPr>
                <w:sz w:val="19"/>
                <w:szCs w:val="19"/>
                <w:color w:val="auto"/>
              </w:rPr>
            </w:pPr>
          </w:p>
        </w:tc>
        <w:tc>
          <w:tcPr>
            <w:tcW w:w="1300" w:type="dxa"/>
            <w:vAlign w:val="bottom"/>
            <w:tcBorders>
              <w:top w:val="single" w:sz="8" w:color="auto"/>
            </w:tcBorders>
            <w:shd w:val="clear" w:color="auto" w:fill="D9E1F2"/>
          </w:tcPr>
          <w:p>
            <w:pPr>
              <w:spacing w:after="0"/>
              <w:rPr>
                <w:sz w:val="19"/>
                <w:szCs w:val="19"/>
                <w:color w:val="auto"/>
              </w:rPr>
            </w:pPr>
          </w:p>
        </w:tc>
        <w:tc>
          <w:tcPr>
            <w:tcW w:w="1060" w:type="dxa"/>
            <w:vAlign w:val="bottom"/>
            <w:tcBorders>
              <w:top w:val="single" w:sz="8" w:color="auto"/>
            </w:tcBorders>
            <w:gridSpan w:val="5"/>
            <w:shd w:val="clear" w:color="auto" w:fill="D9E1F2"/>
          </w:tcPr>
          <w:p>
            <w:pPr>
              <w:jc w:val="center"/>
              <w:ind w:right="60"/>
              <w:spacing w:after="0"/>
              <w:rPr>
                <w:sz w:val="20"/>
                <w:szCs w:val="20"/>
                <w:color w:val="auto"/>
              </w:rPr>
            </w:pPr>
            <w:r>
              <w:rPr>
                <w:rFonts w:ascii="Arial" w:cs="Arial" w:eastAsia="Arial" w:hAnsi="Arial"/>
                <w:sz w:val="11"/>
                <w:szCs w:val="11"/>
                <w:b w:val="1"/>
                <w:bCs w:val="1"/>
                <w:color w:val="auto"/>
                <w:w w:val="87"/>
              </w:rPr>
              <w:t>Restricted Stock</w:t>
            </w:r>
          </w:p>
        </w:tc>
        <w:tc>
          <w:tcPr>
            <w:tcW w:w="3080" w:type="dxa"/>
            <w:vAlign w:val="bottom"/>
            <w:tcBorders>
              <w:top w:val="single" w:sz="8" w:color="auto"/>
            </w:tcBorders>
            <w:gridSpan w:val="6"/>
            <w:shd w:val="clear" w:color="auto" w:fill="D9E1F2"/>
          </w:tcPr>
          <w:p>
            <w:pPr>
              <w:ind w:left="40"/>
              <w:spacing w:after="0"/>
              <w:rPr>
                <w:sz w:val="20"/>
                <w:szCs w:val="20"/>
                <w:color w:val="auto"/>
              </w:rPr>
            </w:pPr>
            <w:r>
              <w:rPr>
                <w:rFonts w:ascii="Arial" w:cs="Arial" w:eastAsia="Arial" w:hAnsi="Arial"/>
                <w:sz w:val="11"/>
                <w:szCs w:val="11"/>
                <w:b w:val="1"/>
                <w:bCs w:val="1"/>
                <w:color w:val="auto"/>
                <w:w w:val="92"/>
              </w:rPr>
              <w:t>Estimated Future Payouts Under Equity Incentive Plan Awards</w:t>
            </w:r>
          </w:p>
        </w:tc>
        <w:tc>
          <w:tcPr>
            <w:tcW w:w="1120" w:type="dxa"/>
            <w:vAlign w:val="bottom"/>
            <w:tcBorders>
              <w:top w:val="single" w:sz="8" w:color="auto"/>
              <w:right w:val="single" w:sz="8" w:color="auto"/>
            </w:tcBorders>
            <w:shd w:val="clear" w:color="auto" w:fill="D9E1F2"/>
          </w:tcPr>
          <w:p>
            <w:pPr>
              <w:spacing w:after="0"/>
              <w:rPr>
                <w:sz w:val="19"/>
                <w:szCs w:val="19"/>
                <w:color w:val="auto"/>
              </w:rPr>
            </w:pPr>
          </w:p>
        </w:tc>
      </w:tr>
      <w:tr>
        <w:trPr>
          <w:trHeight w:val="136"/>
        </w:trPr>
        <w:tc>
          <w:tcPr>
            <w:tcW w:w="4760" w:type="dxa"/>
            <w:vAlign w:val="bottom"/>
            <w:tcBorders>
              <w:left w:val="single" w:sz="8" w:color="auto"/>
              <w:bottom w:val="single" w:sz="8" w:color="D9E1F2"/>
            </w:tcBorders>
            <w:shd w:val="clear" w:color="auto" w:fill="D9E1F2"/>
          </w:tcPr>
          <w:p>
            <w:pPr>
              <w:spacing w:after="0"/>
              <w:rPr>
                <w:sz w:val="11"/>
                <w:szCs w:val="11"/>
                <w:color w:val="auto"/>
              </w:rPr>
            </w:pPr>
          </w:p>
        </w:tc>
        <w:tc>
          <w:tcPr>
            <w:tcW w:w="1300" w:type="dxa"/>
            <w:vAlign w:val="bottom"/>
            <w:tcBorders>
              <w:bottom w:val="single" w:sz="8" w:color="D9E1F2"/>
            </w:tcBorders>
            <w:shd w:val="clear" w:color="auto" w:fill="D9E1F2"/>
          </w:tcPr>
          <w:p>
            <w:pPr>
              <w:spacing w:after="0"/>
              <w:rPr>
                <w:sz w:val="11"/>
                <w:szCs w:val="11"/>
                <w:color w:val="auto"/>
              </w:rPr>
            </w:pPr>
          </w:p>
        </w:tc>
        <w:tc>
          <w:tcPr>
            <w:tcW w:w="1060" w:type="dxa"/>
            <w:vAlign w:val="bottom"/>
            <w:tcBorders>
              <w:bottom w:val="single" w:sz="8" w:color="D9E1F2"/>
            </w:tcBorders>
            <w:gridSpan w:val="5"/>
            <w:shd w:val="clear" w:color="auto" w:fill="D9E1F2"/>
          </w:tcPr>
          <w:p>
            <w:pPr>
              <w:jc w:val="center"/>
              <w:ind w:right="80"/>
              <w:spacing w:after="0"/>
              <w:rPr>
                <w:sz w:val="20"/>
                <w:szCs w:val="20"/>
                <w:color w:val="auto"/>
              </w:rPr>
            </w:pPr>
            <w:r>
              <w:rPr>
                <w:rFonts w:ascii="Arial" w:cs="Arial" w:eastAsia="Arial" w:hAnsi="Arial"/>
                <w:sz w:val="11"/>
                <w:szCs w:val="11"/>
                <w:b w:val="1"/>
                <w:bCs w:val="1"/>
                <w:color w:val="auto"/>
                <w:w w:val="86"/>
              </w:rPr>
              <w:t>(Shares)</w:t>
            </w:r>
          </w:p>
        </w:tc>
        <w:tc>
          <w:tcPr>
            <w:tcW w:w="1300" w:type="dxa"/>
            <w:vAlign w:val="bottom"/>
            <w:tcBorders>
              <w:bottom w:val="single" w:sz="8" w:color="D9E1F2"/>
            </w:tcBorders>
            <w:shd w:val="clear" w:color="auto" w:fill="D9E1F2"/>
          </w:tcPr>
          <w:p>
            <w:pPr>
              <w:spacing w:after="0"/>
              <w:rPr>
                <w:sz w:val="11"/>
                <w:szCs w:val="11"/>
                <w:color w:val="auto"/>
              </w:rPr>
            </w:pPr>
          </w:p>
        </w:tc>
        <w:tc>
          <w:tcPr>
            <w:tcW w:w="320" w:type="dxa"/>
            <w:vAlign w:val="bottom"/>
            <w:tcBorders>
              <w:bottom w:val="single" w:sz="8" w:color="D9E1F2"/>
            </w:tcBorders>
            <w:shd w:val="clear" w:color="auto" w:fill="D9E1F2"/>
          </w:tcPr>
          <w:p>
            <w:pPr>
              <w:spacing w:after="0"/>
              <w:rPr>
                <w:sz w:val="20"/>
                <w:szCs w:val="20"/>
                <w:color w:val="auto"/>
              </w:rPr>
            </w:pPr>
            <w:r>
              <w:rPr>
                <w:rFonts w:ascii="Arial" w:cs="Arial" w:eastAsia="Arial" w:hAnsi="Arial"/>
                <w:sz w:val="11"/>
                <w:szCs w:val="11"/>
                <w:b w:val="1"/>
                <w:bCs w:val="1"/>
                <w:color w:val="auto"/>
                <w:w w:val="85"/>
                <w:shd w:val="clear" w:color="auto" w:fill="D9E1F2"/>
              </w:rPr>
              <w:t>(Units)</w:t>
            </w:r>
          </w:p>
        </w:tc>
        <w:tc>
          <w:tcPr>
            <w:tcW w:w="80" w:type="dxa"/>
            <w:vAlign w:val="bottom"/>
            <w:tcBorders>
              <w:bottom w:val="single" w:sz="8" w:color="D9E1F2"/>
            </w:tcBorders>
            <w:shd w:val="clear" w:color="auto" w:fill="D9E1F2"/>
          </w:tcPr>
          <w:p>
            <w:pPr>
              <w:jc w:val="right"/>
              <w:spacing w:after="0"/>
              <w:rPr>
                <w:sz w:val="20"/>
                <w:szCs w:val="20"/>
                <w:color w:val="auto"/>
              </w:rPr>
            </w:pPr>
            <w:r>
              <w:rPr>
                <w:rFonts w:ascii="Arial" w:cs="Arial" w:eastAsia="Arial" w:hAnsi="Arial"/>
                <w:sz w:val="6"/>
                <w:szCs w:val="6"/>
                <w:b w:val="1"/>
                <w:bCs w:val="1"/>
                <w:color w:val="auto"/>
                <w:w w:val="81"/>
                <w:shd w:val="clear" w:color="auto" w:fill="D9E1F2"/>
              </w:rPr>
              <w:t>(2)</w:t>
            </w:r>
          </w:p>
        </w:tc>
        <w:tc>
          <w:tcPr>
            <w:tcW w:w="400" w:type="dxa"/>
            <w:vAlign w:val="bottom"/>
            <w:tcBorders>
              <w:bottom w:val="single" w:sz="8" w:color="D9E1F2"/>
            </w:tcBorders>
            <w:shd w:val="clear" w:color="auto" w:fill="D9E1F2"/>
          </w:tcPr>
          <w:p>
            <w:pPr>
              <w:spacing w:after="0"/>
              <w:rPr>
                <w:sz w:val="11"/>
                <w:szCs w:val="11"/>
                <w:color w:val="auto"/>
              </w:rPr>
            </w:pPr>
          </w:p>
        </w:tc>
        <w:tc>
          <w:tcPr>
            <w:tcW w:w="920" w:type="dxa"/>
            <w:vAlign w:val="bottom"/>
            <w:tcBorders>
              <w:bottom w:val="single" w:sz="8" w:color="D9E1F2"/>
            </w:tcBorders>
            <w:shd w:val="clear" w:color="auto" w:fill="D9E1F2"/>
          </w:tcPr>
          <w:p>
            <w:pPr>
              <w:spacing w:after="0"/>
              <w:rPr>
                <w:sz w:val="11"/>
                <w:szCs w:val="11"/>
                <w:color w:val="auto"/>
              </w:rPr>
            </w:pPr>
          </w:p>
        </w:tc>
        <w:tc>
          <w:tcPr>
            <w:tcW w:w="60" w:type="dxa"/>
            <w:vAlign w:val="bottom"/>
            <w:tcBorders>
              <w:bottom w:val="single" w:sz="8" w:color="D9E1F2"/>
            </w:tcBorders>
            <w:shd w:val="clear" w:color="auto" w:fill="D9E1F2"/>
          </w:tcPr>
          <w:p>
            <w:pPr>
              <w:spacing w:after="0"/>
              <w:rPr>
                <w:sz w:val="11"/>
                <w:szCs w:val="11"/>
                <w:color w:val="auto"/>
              </w:rPr>
            </w:pPr>
          </w:p>
        </w:tc>
        <w:tc>
          <w:tcPr>
            <w:tcW w:w="1120" w:type="dxa"/>
            <w:vAlign w:val="bottom"/>
            <w:tcBorders>
              <w:bottom w:val="single" w:sz="8" w:color="D9E1F2"/>
              <w:right w:val="single" w:sz="8" w:color="auto"/>
            </w:tcBorders>
            <w:shd w:val="clear" w:color="auto" w:fill="D9E1F2"/>
          </w:tcPr>
          <w:p>
            <w:pPr>
              <w:spacing w:after="0"/>
              <w:rPr>
                <w:sz w:val="11"/>
                <w:szCs w:val="11"/>
                <w:color w:val="auto"/>
              </w:rPr>
            </w:pPr>
          </w:p>
        </w:tc>
      </w:tr>
      <w:tr>
        <w:trPr>
          <w:trHeight w:val="209"/>
        </w:trPr>
        <w:tc>
          <w:tcPr>
            <w:tcW w:w="4760" w:type="dxa"/>
            <w:vAlign w:val="bottom"/>
            <w:tcBorders>
              <w:top w:val="single" w:sz="8" w:color="D9E1F2"/>
              <w:left w:val="single" w:sz="8" w:color="auto"/>
            </w:tcBorders>
            <w:shd w:val="clear" w:color="auto" w:fill="D9E1F2"/>
          </w:tcPr>
          <w:p>
            <w:pPr>
              <w:spacing w:after="0"/>
              <w:rPr>
                <w:sz w:val="18"/>
                <w:szCs w:val="18"/>
                <w:color w:val="auto"/>
              </w:rPr>
            </w:pPr>
          </w:p>
        </w:tc>
        <w:tc>
          <w:tcPr>
            <w:tcW w:w="1300" w:type="dxa"/>
            <w:vAlign w:val="bottom"/>
            <w:tcBorders>
              <w:top w:val="single" w:sz="8" w:color="D9E1F2"/>
            </w:tcBorders>
            <w:shd w:val="clear" w:color="auto" w:fill="D9E1F2"/>
          </w:tcPr>
          <w:p>
            <w:pPr>
              <w:spacing w:after="0"/>
              <w:rPr>
                <w:sz w:val="18"/>
                <w:szCs w:val="18"/>
                <w:color w:val="auto"/>
              </w:rPr>
            </w:pPr>
          </w:p>
        </w:tc>
        <w:tc>
          <w:tcPr>
            <w:tcW w:w="980" w:type="dxa"/>
            <w:vAlign w:val="bottom"/>
            <w:tcBorders>
              <w:top w:val="single" w:sz="8" w:color="auto"/>
            </w:tcBorders>
            <w:gridSpan w:val="4"/>
            <w:shd w:val="clear" w:color="auto" w:fill="D9E1F2"/>
          </w:tcPr>
          <w:p>
            <w:pPr>
              <w:jc w:val="center"/>
              <w:spacing w:after="0"/>
              <w:rPr>
                <w:sz w:val="20"/>
                <w:szCs w:val="20"/>
                <w:color w:val="auto"/>
              </w:rPr>
            </w:pPr>
            <w:r>
              <w:rPr>
                <w:rFonts w:ascii="Arial" w:cs="Arial" w:eastAsia="Arial" w:hAnsi="Arial"/>
                <w:sz w:val="11"/>
                <w:szCs w:val="11"/>
                <w:b w:val="1"/>
                <w:bCs w:val="1"/>
                <w:color w:val="auto"/>
                <w:w w:val="88"/>
              </w:rPr>
              <w:t>Number of Shares of</w:t>
            </w:r>
          </w:p>
        </w:tc>
        <w:tc>
          <w:tcPr>
            <w:tcW w:w="80" w:type="dxa"/>
            <w:vAlign w:val="bottom"/>
            <w:tcBorders>
              <w:top w:val="single" w:sz="8" w:color="D9E1F2"/>
            </w:tcBorders>
            <w:shd w:val="clear" w:color="auto" w:fill="D9E1F2"/>
          </w:tcPr>
          <w:p>
            <w:pPr>
              <w:spacing w:after="0"/>
              <w:rPr>
                <w:sz w:val="18"/>
                <w:szCs w:val="18"/>
                <w:color w:val="auto"/>
              </w:rPr>
            </w:pPr>
          </w:p>
        </w:tc>
        <w:tc>
          <w:tcPr>
            <w:tcW w:w="1300" w:type="dxa"/>
            <w:vAlign w:val="bottom"/>
            <w:tcBorders>
              <w:top w:val="single" w:sz="8" w:color="auto"/>
            </w:tcBorders>
            <w:shd w:val="clear" w:color="auto" w:fill="D9E1F2"/>
          </w:tcPr>
          <w:p>
            <w:pPr>
              <w:spacing w:after="0"/>
              <w:rPr>
                <w:sz w:val="18"/>
                <w:szCs w:val="18"/>
                <w:color w:val="auto"/>
              </w:rPr>
            </w:pPr>
          </w:p>
        </w:tc>
        <w:tc>
          <w:tcPr>
            <w:tcW w:w="320" w:type="dxa"/>
            <w:vAlign w:val="bottom"/>
            <w:tcBorders>
              <w:top w:val="single" w:sz="8" w:color="auto"/>
            </w:tcBorders>
            <w:shd w:val="clear" w:color="auto" w:fill="D9E1F2"/>
          </w:tcPr>
          <w:p>
            <w:pPr>
              <w:spacing w:after="0"/>
              <w:rPr>
                <w:sz w:val="18"/>
                <w:szCs w:val="18"/>
                <w:color w:val="auto"/>
              </w:rPr>
            </w:pPr>
          </w:p>
        </w:tc>
        <w:tc>
          <w:tcPr>
            <w:tcW w:w="80" w:type="dxa"/>
            <w:vAlign w:val="bottom"/>
            <w:tcBorders>
              <w:top w:val="single" w:sz="8" w:color="auto"/>
            </w:tcBorders>
            <w:shd w:val="clear" w:color="auto" w:fill="D9E1F2"/>
          </w:tcPr>
          <w:p>
            <w:pPr>
              <w:spacing w:after="0"/>
              <w:rPr>
                <w:sz w:val="18"/>
                <w:szCs w:val="18"/>
                <w:color w:val="auto"/>
              </w:rPr>
            </w:pPr>
          </w:p>
        </w:tc>
        <w:tc>
          <w:tcPr>
            <w:tcW w:w="400" w:type="dxa"/>
            <w:vAlign w:val="bottom"/>
            <w:tcBorders>
              <w:top w:val="single" w:sz="8" w:color="auto"/>
            </w:tcBorders>
            <w:shd w:val="clear" w:color="auto" w:fill="D9E1F2"/>
          </w:tcPr>
          <w:p>
            <w:pPr>
              <w:spacing w:after="0"/>
              <w:rPr>
                <w:sz w:val="18"/>
                <w:szCs w:val="18"/>
                <w:color w:val="auto"/>
              </w:rPr>
            </w:pPr>
          </w:p>
        </w:tc>
        <w:tc>
          <w:tcPr>
            <w:tcW w:w="920" w:type="dxa"/>
            <w:vAlign w:val="bottom"/>
            <w:tcBorders>
              <w:top w:val="single" w:sz="8" w:color="auto"/>
            </w:tcBorders>
            <w:shd w:val="clear" w:color="auto" w:fill="D9E1F2"/>
          </w:tcPr>
          <w:p>
            <w:pPr>
              <w:spacing w:after="0"/>
              <w:rPr>
                <w:sz w:val="18"/>
                <w:szCs w:val="18"/>
                <w:color w:val="auto"/>
              </w:rPr>
            </w:pPr>
          </w:p>
        </w:tc>
        <w:tc>
          <w:tcPr>
            <w:tcW w:w="60" w:type="dxa"/>
            <w:vAlign w:val="bottom"/>
            <w:tcBorders>
              <w:top w:val="single" w:sz="8" w:color="D9E1F2"/>
            </w:tcBorders>
            <w:shd w:val="clear" w:color="auto" w:fill="D9E1F2"/>
          </w:tcPr>
          <w:p>
            <w:pPr>
              <w:spacing w:after="0"/>
              <w:rPr>
                <w:sz w:val="18"/>
                <w:szCs w:val="18"/>
                <w:color w:val="auto"/>
              </w:rPr>
            </w:pPr>
          </w:p>
        </w:tc>
        <w:tc>
          <w:tcPr>
            <w:tcW w:w="1120" w:type="dxa"/>
            <w:vAlign w:val="bottom"/>
            <w:tcBorders>
              <w:top w:val="single" w:sz="8" w:color="D9E1F2"/>
              <w:right w:val="single" w:sz="8" w:color="auto"/>
            </w:tcBorders>
            <w:shd w:val="clear" w:color="auto" w:fill="D9E1F2"/>
          </w:tcPr>
          <w:p>
            <w:pPr>
              <w:jc w:val="right"/>
              <w:ind w:right="2"/>
              <w:spacing w:after="0"/>
              <w:rPr>
                <w:sz w:val="20"/>
                <w:szCs w:val="20"/>
                <w:color w:val="auto"/>
              </w:rPr>
            </w:pPr>
            <w:r>
              <w:rPr>
                <w:rFonts w:ascii="Arial" w:cs="Arial" w:eastAsia="Arial" w:hAnsi="Arial"/>
                <w:sz w:val="11"/>
                <w:szCs w:val="11"/>
                <w:b w:val="1"/>
                <w:bCs w:val="1"/>
                <w:color w:val="auto"/>
                <w:w w:val="92"/>
              </w:rPr>
              <w:t>Grant Date Fair Value</w:t>
            </w:r>
          </w:p>
        </w:tc>
      </w:tr>
      <w:tr>
        <w:trPr>
          <w:trHeight w:val="136"/>
        </w:trPr>
        <w:tc>
          <w:tcPr>
            <w:tcW w:w="4760" w:type="dxa"/>
            <w:vAlign w:val="bottom"/>
            <w:tcBorders>
              <w:left w:val="single" w:sz="8" w:color="auto"/>
              <w:bottom w:val="single" w:sz="8" w:color="D9E1F2"/>
            </w:tcBorders>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300" w:type="dxa"/>
            <w:vAlign w:val="bottom"/>
            <w:tcBorders>
              <w:bottom w:val="single" w:sz="8" w:color="D9E1F2"/>
            </w:tcBorders>
            <w:shd w:val="clear" w:color="auto" w:fill="D9E1F2"/>
          </w:tcPr>
          <w:p>
            <w:pPr>
              <w:jc w:val="center"/>
              <w:ind w:right="22"/>
              <w:spacing w:after="0"/>
              <w:rPr>
                <w:sz w:val="20"/>
                <w:szCs w:val="20"/>
                <w:color w:val="auto"/>
              </w:rPr>
            </w:pPr>
            <w:r>
              <w:rPr>
                <w:rFonts w:ascii="Arial" w:cs="Arial" w:eastAsia="Arial" w:hAnsi="Arial"/>
                <w:sz w:val="11"/>
                <w:szCs w:val="11"/>
                <w:b w:val="1"/>
                <w:bCs w:val="1"/>
                <w:color w:val="auto"/>
                <w:w w:val="95"/>
              </w:rPr>
              <w:t>Grant Date</w:t>
            </w:r>
          </w:p>
        </w:tc>
        <w:tc>
          <w:tcPr>
            <w:tcW w:w="320" w:type="dxa"/>
            <w:vAlign w:val="bottom"/>
            <w:tcBorders>
              <w:bottom w:val="single" w:sz="8" w:color="D9E1F2"/>
            </w:tcBorders>
            <w:shd w:val="clear" w:color="auto" w:fill="D9E1F2"/>
          </w:tcPr>
          <w:p>
            <w:pPr>
              <w:spacing w:after="0"/>
              <w:rPr>
                <w:sz w:val="11"/>
                <w:szCs w:val="11"/>
                <w:color w:val="auto"/>
              </w:rPr>
            </w:pPr>
          </w:p>
        </w:tc>
        <w:tc>
          <w:tcPr>
            <w:tcW w:w="260" w:type="dxa"/>
            <w:vAlign w:val="bottom"/>
            <w:tcBorders>
              <w:bottom w:val="single" w:sz="8" w:color="D9E1F2"/>
            </w:tcBorders>
            <w:shd w:val="clear" w:color="auto" w:fill="D9E1F2"/>
          </w:tcPr>
          <w:p>
            <w:pPr>
              <w:spacing w:after="0"/>
              <w:rPr>
                <w:sz w:val="20"/>
                <w:szCs w:val="20"/>
                <w:color w:val="auto"/>
              </w:rPr>
            </w:pPr>
            <w:r>
              <w:rPr>
                <w:rFonts w:ascii="Arial" w:cs="Arial" w:eastAsia="Arial" w:hAnsi="Arial"/>
                <w:sz w:val="11"/>
                <w:szCs w:val="11"/>
                <w:b w:val="1"/>
                <w:bCs w:val="1"/>
                <w:color w:val="auto"/>
                <w:w w:val="79"/>
                <w:shd w:val="clear" w:color="auto" w:fill="D9E1F2"/>
              </w:rPr>
              <w:t>Stock</w:t>
            </w:r>
          </w:p>
        </w:tc>
        <w:tc>
          <w:tcPr>
            <w:tcW w:w="80" w:type="dxa"/>
            <w:vAlign w:val="bottom"/>
            <w:tcBorders>
              <w:bottom w:val="single" w:sz="8" w:color="D9E1F2"/>
            </w:tcBorders>
            <w:shd w:val="clear" w:color="auto" w:fill="D9E1F2"/>
          </w:tcPr>
          <w:p>
            <w:pPr>
              <w:jc w:val="right"/>
              <w:spacing w:after="0"/>
              <w:rPr>
                <w:sz w:val="20"/>
                <w:szCs w:val="20"/>
                <w:color w:val="auto"/>
              </w:rPr>
            </w:pPr>
            <w:r>
              <w:rPr>
                <w:rFonts w:ascii="Arial" w:cs="Arial" w:eastAsia="Arial" w:hAnsi="Arial"/>
                <w:sz w:val="6"/>
                <w:szCs w:val="6"/>
                <w:b w:val="1"/>
                <w:bCs w:val="1"/>
                <w:color w:val="auto"/>
                <w:w w:val="81"/>
                <w:shd w:val="clear" w:color="auto" w:fill="D9E1F2"/>
              </w:rPr>
              <w:t>(1)</w:t>
            </w:r>
          </w:p>
        </w:tc>
        <w:tc>
          <w:tcPr>
            <w:tcW w:w="400" w:type="dxa"/>
            <w:vAlign w:val="bottom"/>
            <w:tcBorders>
              <w:bottom w:val="single" w:sz="8" w:color="D9E1F2"/>
            </w:tcBorders>
            <w:gridSpan w:val="2"/>
            <w:shd w:val="clear" w:color="auto" w:fill="D9E1F2"/>
          </w:tcPr>
          <w:p>
            <w:pPr>
              <w:spacing w:after="0"/>
              <w:rPr>
                <w:sz w:val="11"/>
                <w:szCs w:val="11"/>
                <w:color w:val="auto"/>
              </w:rPr>
            </w:pPr>
          </w:p>
        </w:tc>
        <w:tc>
          <w:tcPr>
            <w:tcW w:w="1300" w:type="dxa"/>
            <w:vAlign w:val="bottom"/>
            <w:tcBorders>
              <w:bottom w:val="single" w:sz="8" w:color="D9E1F2"/>
            </w:tcBorders>
            <w:shd w:val="clear" w:color="auto" w:fill="D9E1F2"/>
          </w:tcPr>
          <w:p>
            <w:pPr>
              <w:jc w:val="right"/>
              <w:ind w:right="502"/>
              <w:spacing w:after="0"/>
              <w:rPr>
                <w:sz w:val="20"/>
                <w:szCs w:val="20"/>
                <w:color w:val="auto"/>
              </w:rPr>
            </w:pPr>
            <w:r>
              <w:rPr>
                <w:rFonts w:ascii="Arial" w:cs="Arial" w:eastAsia="Arial" w:hAnsi="Arial"/>
                <w:sz w:val="11"/>
                <w:szCs w:val="11"/>
                <w:b w:val="1"/>
                <w:bCs w:val="1"/>
                <w:color w:val="auto"/>
              </w:rPr>
              <w:t>Threshold</w:t>
            </w:r>
          </w:p>
        </w:tc>
        <w:tc>
          <w:tcPr>
            <w:tcW w:w="800" w:type="dxa"/>
            <w:vAlign w:val="bottom"/>
            <w:tcBorders>
              <w:bottom w:val="single" w:sz="8" w:color="D9E1F2"/>
            </w:tcBorders>
            <w:gridSpan w:val="3"/>
            <w:shd w:val="clear" w:color="auto" w:fill="D9E1F2"/>
          </w:tcPr>
          <w:p>
            <w:pPr>
              <w:jc w:val="right"/>
              <w:ind w:right="400"/>
              <w:spacing w:after="0"/>
              <w:rPr>
                <w:sz w:val="20"/>
                <w:szCs w:val="20"/>
                <w:color w:val="auto"/>
              </w:rPr>
            </w:pPr>
            <w:r>
              <w:rPr>
                <w:rFonts w:ascii="Arial" w:cs="Arial" w:eastAsia="Arial" w:hAnsi="Arial"/>
                <w:sz w:val="11"/>
                <w:szCs w:val="11"/>
                <w:b w:val="1"/>
                <w:bCs w:val="1"/>
                <w:color w:val="auto"/>
                <w:w w:val="95"/>
              </w:rPr>
              <w:t>Target</w:t>
            </w:r>
          </w:p>
        </w:tc>
        <w:tc>
          <w:tcPr>
            <w:tcW w:w="980" w:type="dxa"/>
            <w:vAlign w:val="bottom"/>
            <w:tcBorders>
              <w:bottom w:val="single" w:sz="8" w:color="D9E1F2"/>
            </w:tcBorders>
            <w:gridSpan w:val="2"/>
            <w:shd w:val="clear" w:color="auto" w:fill="D9E1F2"/>
          </w:tcPr>
          <w:p>
            <w:pPr>
              <w:ind w:left="160"/>
              <w:spacing w:after="0"/>
              <w:rPr>
                <w:sz w:val="20"/>
                <w:szCs w:val="20"/>
                <w:color w:val="auto"/>
              </w:rPr>
            </w:pPr>
            <w:r>
              <w:rPr>
                <w:rFonts w:ascii="Arial" w:cs="Arial" w:eastAsia="Arial" w:hAnsi="Arial"/>
                <w:sz w:val="11"/>
                <w:szCs w:val="11"/>
                <w:b w:val="1"/>
                <w:bCs w:val="1"/>
                <w:color w:val="auto"/>
              </w:rPr>
              <w:t>Maximum</w:t>
            </w:r>
          </w:p>
        </w:tc>
        <w:tc>
          <w:tcPr>
            <w:tcW w:w="1120" w:type="dxa"/>
            <w:vAlign w:val="bottom"/>
            <w:tcBorders>
              <w:bottom w:val="single" w:sz="8" w:color="D9E1F2"/>
              <w:right w:val="single" w:sz="8" w:color="auto"/>
            </w:tcBorders>
            <w:shd w:val="clear" w:color="auto" w:fill="D9E1F2"/>
          </w:tcPr>
          <w:p>
            <w:pPr>
              <w:jc w:val="right"/>
              <w:ind w:right="102"/>
              <w:spacing w:after="0" w:line="126" w:lineRule="exact"/>
              <w:rPr>
                <w:sz w:val="20"/>
                <w:szCs w:val="20"/>
                <w:color w:val="auto"/>
              </w:rPr>
            </w:pPr>
            <w:r>
              <w:rPr>
                <w:rFonts w:ascii="Arial" w:cs="Arial" w:eastAsia="Arial" w:hAnsi="Arial"/>
                <w:sz w:val="11"/>
                <w:szCs w:val="11"/>
                <w:b w:val="1"/>
                <w:bCs w:val="1"/>
                <w:color w:val="auto"/>
                <w:w w:val="96"/>
              </w:rPr>
              <w:t>of Stock Awards</w:t>
            </w:r>
            <w:r>
              <w:rPr>
                <w:rFonts w:ascii="Arial" w:cs="Arial" w:eastAsia="Arial" w:hAnsi="Arial"/>
                <w:sz w:val="14"/>
                <w:szCs w:val="14"/>
                <w:b w:val="1"/>
                <w:bCs w:val="1"/>
                <w:color w:val="auto"/>
                <w:w w:val="96"/>
                <w:vertAlign w:val="superscript"/>
              </w:rPr>
              <w:t>(3)</w:t>
            </w:r>
          </w:p>
        </w:tc>
      </w:tr>
      <w:tr>
        <w:trPr>
          <w:trHeight w:val="147"/>
        </w:trPr>
        <w:tc>
          <w:tcPr>
            <w:tcW w:w="47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2"/>
                <w:szCs w:val="12"/>
                <w:color w:val="auto"/>
              </w:rPr>
              <w:t>M. Jay Allison</w:t>
            </w:r>
          </w:p>
        </w:tc>
        <w:tc>
          <w:tcPr>
            <w:tcW w:w="1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tcBorders>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w:t>
            </w:r>
          </w:p>
        </w:tc>
      </w:tr>
      <w:tr>
        <w:trPr>
          <w:trHeight w:val="153"/>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2"/>
                <w:szCs w:val="12"/>
                <w:i w:val="1"/>
                <w:iCs w:val="1"/>
                <w:color w:val="auto"/>
              </w:rPr>
              <w:t>Chief Executive Officer</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r>
      <w:tr>
        <w:trPr>
          <w:trHeight w:val="153"/>
        </w:trPr>
        <w:tc>
          <w:tcPr>
            <w:tcW w:w="476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gridSpan w:val="2"/>
            <w:shd w:val="clear" w:color="auto" w:fill="D9E1F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D9E1F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D9E1F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shd w:val="clear" w:color="auto" w:fill="D9E1F2"/>
          </w:tcPr>
          <w:p>
            <w:pPr>
              <w:jc w:val="right"/>
              <w:ind w:right="22"/>
              <w:spacing w:after="0"/>
              <w:rPr>
                <w:sz w:val="20"/>
                <w:szCs w:val="20"/>
                <w:color w:val="auto"/>
              </w:rPr>
            </w:pPr>
            <w:r>
              <w:rPr>
                <w:rFonts w:ascii="Arial" w:cs="Arial" w:eastAsia="Arial" w:hAnsi="Arial"/>
                <w:sz w:val="12"/>
                <w:szCs w:val="12"/>
                <w:color w:val="auto"/>
              </w:rPr>
              <w:t>—</w:t>
            </w:r>
          </w:p>
        </w:tc>
      </w:tr>
      <w:tr>
        <w:trPr>
          <w:trHeight w:val="153"/>
        </w:trPr>
        <w:tc>
          <w:tcPr>
            <w:tcW w:w="476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2"/>
                <w:szCs w:val="12"/>
                <w:i w:val="1"/>
                <w:iCs w:val="1"/>
                <w:color w:val="auto"/>
              </w:rPr>
              <w:t>President and Chief Financial Officer</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spacing w:after="0"/>
              <w:rPr>
                <w:sz w:val="13"/>
                <w:szCs w:val="13"/>
                <w:color w:val="auto"/>
              </w:rPr>
            </w:pPr>
          </w:p>
        </w:tc>
        <w:tc>
          <w:tcPr>
            <w:tcW w:w="920" w:type="dxa"/>
            <w:vAlign w:val="bottom"/>
            <w:shd w:val="clear" w:color="auto" w:fill="D9E1F2"/>
          </w:tcPr>
          <w:p>
            <w:pPr>
              <w:spacing w:after="0"/>
              <w:rPr>
                <w:sz w:val="13"/>
                <w:szCs w:val="13"/>
                <w:color w:val="auto"/>
              </w:rPr>
            </w:pP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spacing w:after="0"/>
              <w:rPr>
                <w:sz w:val="13"/>
                <w:szCs w:val="13"/>
                <w:color w:val="auto"/>
              </w:rPr>
            </w:pPr>
          </w:p>
        </w:tc>
      </w:tr>
      <w:tr>
        <w:trPr>
          <w:trHeight w:val="153"/>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S. Harrison</w:t>
            </w:r>
          </w:p>
        </w:tc>
        <w:tc>
          <w:tcPr>
            <w:tcW w:w="1300" w:type="dxa"/>
            <w:vAlign w:val="bottom"/>
          </w:tcPr>
          <w:p>
            <w:pPr>
              <w:jc w:val="center"/>
              <w:ind w:right="22"/>
              <w:spacing w:after="0"/>
              <w:rPr>
                <w:sz w:val="20"/>
                <w:szCs w:val="20"/>
                <w:color w:val="auto"/>
              </w:rPr>
            </w:pPr>
            <w:r>
              <w:rPr>
                <w:rFonts w:ascii="Arial" w:cs="Arial" w:eastAsia="Arial" w:hAnsi="Arial"/>
                <w:sz w:val="12"/>
                <w:szCs w:val="12"/>
                <w:color w:val="auto"/>
                <w:w w:val="89"/>
              </w:rPr>
              <w:t>June 3, 2020</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85,502</w:t>
            </w:r>
          </w:p>
        </w:tc>
        <w:tc>
          <w:tcPr>
            <w:tcW w:w="80" w:type="dxa"/>
            <w:vAlign w:val="bottom"/>
          </w:tcPr>
          <w:p>
            <w:pPr>
              <w:spacing w:after="0"/>
              <w:rPr>
                <w:sz w:val="13"/>
                <w:szCs w:val="13"/>
                <w:color w:val="auto"/>
              </w:rPr>
            </w:pPr>
          </w:p>
        </w:tc>
        <w:tc>
          <w:tcPr>
            <w:tcW w:w="1300" w:type="dxa"/>
            <w:vAlign w:val="bottom"/>
          </w:tcPr>
          <w:p>
            <w:pPr>
              <w:jc w:val="right"/>
              <w:ind w:right="302"/>
              <w:spacing w:after="0"/>
              <w:rPr>
                <w:sz w:val="20"/>
                <w:szCs w:val="20"/>
                <w:color w:val="auto"/>
              </w:rPr>
            </w:pPr>
            <w:r>
              <w:rPr>
                <w:rFonts w:ascii="Arial" w:cs="Arial" w:eastAsia="Arial" w:hAnsi="Arial"/>
                <w:sz w:val="12"/>
                <w:szCs w:val="12"/>
                <w:color w:val="auto"/>
              </w:rPr>
              <w:t>42,751</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85,502</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171,004</w:t>
            </w:r>
          </w:p>
        </w:tc>
        <w:tc>
          <w:tcPr>
            <w:tcW w:w="60" w:type="dxa"/>
            <w:vAlign w:val="bottom"/>
          </w:tcPr>
          <w:p>
            <w:pPr>
              <w:spacing w:after="0"/>
              <w:rPr>
                <w:sz w:val="13"/>
                <w:szCs w:val="13"/>
                <w:color w:val="auto"/>
              </w:rPr>
            </w:pPr>
          </w:p>
        </w:tc>
        <w:tc>
          <w:tcPr>
            <w:tcW w:w="1120" w:type="dxa"/>
            <w:vAlign w:val="bottom"/>
            <w:tcBorders>
              <w:right w:val="single" w:sz="8" w:color="auto"/>
            </w:tcBorders>
          </w:tcPr>
          <w:p>
            <w:pPr>
              <w:jc w:val="right"/>
              <w:ind w:right="22"/>
              <w:spacing w:after="0"/>
              <w:rPr>
                <w:sz w:val="20"/>
                <w:szCs w:val="20"/>
                <w:color w:val="auto"/>
              </w:rPr>
            </w:pPr>
            <w:r>
              <w:rPr>
                <w:rFonts w:ascii="Arial" w:cs="Arial" w:eastAsia="Arial" w:hAnsi="Arial"/>
                <w:sz w:val="12"/>
                <w:szCs w:val="12"/>
                <w:color w:val="auto"/>
              </w:rPr>
              <w:t>$1,175,653</w:t>
            </w:r>
          </w:p>
        </w:tc>
      </w:tr>
      <w:tr>
        <w:trPr>
          <w:trHeight w:val="153"/>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2"/>
                <w:szCs w:val="12"/>
                <w:i w:val="1"/>
                <w:iCs w:val="1"/>
                <w:color w:val="auto"/>
              </w:rPr>
              <w:t>Chief Operating Officer</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r>
      <w:tr>
        <w:trPr>
          <w:trHeight w:val="153"/>
        </w:trPr>
        <w:tc>
          <w:tcPr>
            <w:tcW w:w="476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300" w:type="dxa"/>
            <w:vAlign w:val="bottom"/>
            <w:shd w:val="clear" w:color="auto" w:fill="D9E1F2"/>
          </w:tcPr>
          <w:p>
            <w:pPr>
              <w:jc w:val="center"/>
              <w:ind w:right="22"/>
              <w:spacing w:after="0"/>
              <w:rPr>
                <w:sz w:val="20"/>
                <w:szCs w:val="20"/>
                <w:color w:val="auto"/>
              </w:rPr>
            </w:pPr>
            <w:r>
              <w:rPr>
                <w:rFonts w:ascii="Arial" w:cs="Arial" w:eastAsia="Arial" w:hAnsi="Arial"/>
                <w:sz w:val="12"/>
                <w:szCs w:val="12"/>
                <w:color w:val="auto"/>
                <w:w w:val="89"/>
              </w:rPr>
              <w:t>June 3, 2020</w:t>
            </w:r>
          </w:p>
        </w:tc>
        <w:tc>
          <w:tcPr>
            <w:tcW w:w="980" w:type="dxa"/>
            <w:vAlign w:val="bottom"/>
            <w:gridSpan w:val="4"/>
            <w:shd w:val="clear" w:color="auto" w:fill="D9E1F2"/>
          </w:tcPr>
          <w:p>
            <w:pPr>
              <w:jc w:val="right"/>
              <w:spacing w:after="0"/>
              <w:rPr>
                <w:sz w:val="20"/>
                <w:szCs w:val="20"/>
                <w:color w:val="auto"/>
              </w:rPr>
            </w:pPr>
            <w:r>
              <w:rPr>
                <w:rFonts w:ascii="Arial" w:cs="Arial" w:eastAsia="Arial" w:hAnsi="Arial"/>
                <w:sz w:val="12"/>
                <w:szCs w:val="12"/>
                <w:color w:val="auto"/>
              </w:rPr>
              <w:t>40,428</w:t>
            </w: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jc w:val="right"/>
              <w:ind w:right="302"/>
              <w:spacing w:after="0"/>
              <w:rPr>
                <w:sz w:val="20"/>
                <w:szCs w:val="20"/>
                <w:color w:val="auto"/>
              </w:rPr>
            </w:pPr>
            <w:r>
              <w:rPr>
                <w:rFonts w:ascii="Arial" w:cs="Arial" w:eastAsia="Arial" w:hAnsi="Arial"/>
                <w:sz w:val="12"/>
                <w:szCs w:val="12"/>
                <w:color w:val="auto"/>
              </w:rPr>
              <w:t>20,214</w:t>
            </w:r>
          </w:p>
        </w:tc>
        <w:tc>
          <w:tcPr>
            <w:tcW w:w="800" w:type="dxa"/>
            <w:vAlign w:val="bottom"/>
            <w:gridSpan w:val="3"/>
            <w:shd w:val="clear" w:color="auto" w:fill="D9E1F2"/>
          </w:tcPr>
          <w:p>
            <w:pPr>
              <w:jc w:val="right"/>
              <w:ind w:right="100"/>
              <w:spacing w:after="0"/>
              <w:rPr>
                <w:sz w:val="20"/>
                <w:szCs w:val="20"/>
                <w:color w:val="auto"/>
              </w:rPr>
            </w:pPr>
            <w:r>
              <w:rPr>
                <w:rFonts w:ascii="Arial" w:cs="Arial" w:eastAsia="Arial" w:hAnsi="Arial"/>
                <w:sz w:val="12"/>
                <w:szCs w:val="12"/>
                <w:color w:val="auto"/>
              </w:rPr>
              <w:t>40,428</w:t>
            </w:r>
          </w:p>
        </w:tc>
        <w:tc>
          <w:tcPr>
            <w:tcW w:w="920" w:type="dxa"/>
            <w:vAlign w:val="bottom"/>
            <w:shd w:val="clear" w:color="auto" w:fill="D9E1F2"/>
          </w:tcPr>
          <w:p>
            <w:pPr>
              <w:jc w:val="right"/>
              <w:ind w:right="1"/>
              <w:spacing w:after="0"/>
              <w:rPr>
                <w:sz w:val="20"/>
                <w:szCs w:val="20"/>
                <w:color w:val="auto"/>
              </w:rPr>
            </w:pPr>
            <w:r>
              <w:rPr>
                <w:rFonts w:ascii="Arial" w:cs="Arial" w:eastAsia="Arial" w:hAnsi="Arial"/>
                <w:sz w:val="12"/>
                <w:szCs w:val="12"/>
                <w:color w:val="auto"/>
              </w:rPr>
              <w:t>80,856</w:t>
            </w: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jc w:val="right"/>
              <w:ind w:right="22"/>
              <w:spacing w:after="0"/>
              <w:rPr>
                <w:sz w:val="20"/>
                <w:szCs w:val="20"/>
                <w:color w:val="auto"/>
              </w:rPr>
            </w:pPr>
            <w:r>
              <w:rPr>
                <w:rFonts w:ascii="Arial" w:cs="Arial" w:eastAsia="Arial" w:hAnsi="Arial"/>
                <w:sz w:val="12"/>
                <w:szCs w:val="12"/>
                <w:color w:val="auto"/>
              </w:rPr>
              <w:t>$555,885</w:t>
            </w:r>
          </w:p>
        </w:tc>
      </w:tr>
      <w:tr>
        <w:trPr>
          <w:trHeight w:val="153"/>
        </w:trPr>
        <w:tc>
          <w:tcPr>
            <w:tcW w:w="476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2"/>
                <w:szCs w:val="12"/>
                <w:i w:val="1"/>
                <w:iCs w:val="1"/>
                <w:color w:val="auto"/>
              </w:rPr>
              <w:t>Senior Vice President of Corporate Development</w:t>
            </w: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26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1300" w:type="dxa"/>
            <w:vAlign w:val="bottom"/>
            <w:shd w:val="clear" w:color="auto" w:fill="D9E1F2"/>
          </w:tcPr>
          <w:p>
            <w:pPr>
              <w:spacing w:after="0"/>
              <w:rPr>
                <w:sz w:val="13"/>
                <w:szCs w:val="13"/>
                <w:color w:val="auto"/>
              </w:rPr>
            </w:pPr>
          </w:p>
        </w:tc>
        <w:tc>
          <w:tcPr>
            <w:tcW w:w="320" w:type="dxa"/>
            <w:vAlign w:val="bottom"/>
            <w:shd w:val="clear" w:color="auto" w:fill="D9E1F2"/>
          </w:tcPr>
          <w:p>
            <w:pPr>
              <w:spacing w:after="0"/>
              <w:rPr>
                <w:sz w:val="13"/>
                <w:szCs w:val="13"/>
                <w:color w:val="auto"/>
              </w:rPr>
            </w:pPr>
          </w:p>
        </w:tc>
        <w:tc>
          <w:tcPr>
            <w:tcW w:w="80" w:type="dxa"/>
            <w:vAlign w:val="bottom"/>
            <w:shd w:val="clear" w:color="auto" w:fill="D9E1F2"/>
          </w:tcPr>
          <w:p>
            <w:pPr>
              <w:spacing w:after="0"/>
              <w:rPr>
                <w:sz w:val="13"/>
                <w:szCs w:val="13"/>
                <w:color w:val="auto"/>
              </w:rPr>
            </w:pPr>
          </w:p>
        </w:tc>
        <w:tc>
          <w:tcPr>
            <w:tcW w:w="400" w:type="dxa"/>
            <w:vAlign w:val="bottom"/>
            <w:shd w:val="clear" w:color="auto" w:fill="D9E1F2"/>
          </w:tcPr>
          <w:p>
            <w:pPr>
              <w:spacing w:after="0"/>
              <w:rPr>
                <w:sz w:val="13"/>
                <w:szCs w:val="13"/>
                <w:color w:val="auto"/>
              </w:rPr>
            </w:pPr>
          </w:p>
        </w:tc>
        <w:tc>
          <w:tcPr>
            <w:tcW w:w="920" w:type="dxa"/>
            <w:vAlign w:val="bottom"/>
            <w:shd w:val="clear" w:color="auto" w:fill="D9E1F2"/>
          </w:tcPr>
          <w:p>
            <w:pPr>
              <w:spacing w:after="0"/>
              <w:rPr>
                <w:sz w:val="13"/>
                <w:szCs w:val="13"/>
                <w:color w:val="auto"/>
              </w:rPr>
            </w:pPr>
          </w:p>
        </w:tc>
        <w:tc>
          <w:tcPr>
            <w:tcW w:w="60" w:type="dxa"/>
            <w:vAlign w:val="bottom"/>
            <w:shd w:val="clear" w:color="auto" w:fill="D9E1F2"/>
          </w:tcPr>
          <w:p>
            <w:pPr>
              <w:spacing w:after="0"/>
              <w:rPr>
                <w:sz w:val="13"/>
                <w:szCs w:val="13"/>
                <w:color w:val="auto"/>
              </w:rPr>
            </w:pPr>
          </w:p>
        </w:tc>
        <w:tc>
          <w:tcPr>
            <w:tcW w:w="1120" w:type="dxa"/>
            <w:vAlign w:val="bottom"/>
            <w:tcBorders>
              <w:right w:val="single" w:sz="8" w:color="auto"/>
            </w:tcBorders>
            <w:shd w:val="clear" w:color="auto" w:fill="D9E1F2"/>
          </w:tcPr>
          <w:p>
            <w:pPr>
              <w:spacing w:after="0"/>
              <w:rPr>
                <w:sz w:val="13"/>
                <w:szCs w:val="13"/>
                <w:color w:val="auto"/>
              </w:rPr>
            </w:pPr>
          </w:p>
        </w:tc>
      </w:tr>
      <w:tr>
        <w:trPr>
          <w:trHeight w:val="153"/>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Daniel K. Presley</w:t>
            </w:r>
          </w:p>
        </w:tc>
        <w:tc>
          <w:tcPr>
            <w:tcW w:w="1300" w:type="dxa"/>
            <w:vAlign w:val="bottom"/>
          </w:tcPr>
          <w:p>
            <w:pPr>
              <w:jc w:val="center"/>
              <w:ind w:right="22"/>
              <w:spacing w:after="0"/>
              <w:rPr>
                <w:sz w:val="20"/>
                <w:szCs w:val="20"/>
                <w:color w:val="auto"/>
              </w:rPr>
            </w:pPr>
            <w:r>
              <w:rPr>
                <w:rFonts w:ascii="Arial" w:cs="Arial" w:eastAsia="Arial" w:hAnsi="Arial"/>
                <w:sz w:val="12"/>
                <w:szCs w:val="12"/>
                <w:color w:val="auto"/>
                <w:w w:val="89"/>
              </w:rPr>
              <w:t>June 3, 2020</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22,514</w:t>
            </w:r>
          </w:p>
        </w:tc>
        <w:tc>
          <w:tcPr>
            <w:tcW w:w="80" w:type="dxa"/>
            <w:vAlign w:val="bottom"/>
          </w:tcPr>
          <w:p>
            <w:pPr>
              <w:spacing w:after="0"/>
              <w:rPr>
                <w:sz w:val="13"/>
                <w:szCs w:val="13"/>
                <w:color w:val="auto"/>
              </w:rPr>
            </w:pPr>
          </w:p>
        </w:tc>
        <w:tc>
          <w:tcPr>
            <w:tcW w:w="1300" w:type="dxa"/>
            <w:vAlign w:val="bottom"/>
          </w:tcPr>
          <w:p>
            <w:pPr>
              <w:jc w:val="right"/>
              <w:ind w:right="302"/>
              <w:spacing w:after="0"/>
              <w:rPr>
                <w:sz w:val="20"/>
                <w:szCs w:val="20"/>
                <w:color w:val="auto"/>
              </w:rPr>
            </w:pPr>
            <w:r>
              <w:rPr>
                <w:rFonts w:ascii="Arial" w:cs="Arial" w:eastAsia="Arial" w:hAnsi="Arial"/>
                <w:sz w:val="12"/>
                <w:szCs w:val="12"/>
                <w:color w:val="auto"/>
              </w:rPr>
              <w:t>11,257</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22,514</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45,028</w:t>
            </w:r>
          </w:p>
        </w:tc>
        <w:tc>
          <w:tcPr>
            <w:tcW w:w="60" w:type="dxa"/>
            <w:vAlign w:val="bottom"/>
          </w:tcPr>
          <w:p>
            <w:pPr>
              <w:spacing w:after="0"/>
              <w:rPr>
                <w:sz w:val="13"/>
                <w:szCs w:val="13"/>
                <w:color w:val="auto"/>
              </w:rPr>
            </w:pPr>
          </w:p>
        </w:tc>
        <w:tc>
          <w:tcPr>
            <w:tcW w:w="1120" w:type="dxa"/>
            <w:vAlign w:val="bottom"/>
            <w:tcBorders>
              <w:right w:val="single" w:sz="8" w:color="auto"/>
            </w:tcBorders>
          </w:tcPr>
          <w:p>
            <w:pPr>
              <w:jc w:val="right"/>
              <w:ind w:right="22"/>
              <w:spacing w:after="0"/>
              <w:rPr>
                <w:sz w:val="20"/>
                <w:szCs w:val="20"/>
                <w:color w:val="auto"/>
              </w:rPr>
            </w:pPr>
            <w:r>
              <w:rPr>
                <w:rFonts w:ascii="Arial" w:cs="Arial" w:eastAsia="Arial" w:hAnsi="Arial"/>
                <w:sz w:val="12"/>
                <w:szCs w:val="12"/>
                <w:color w:val="auto"/>
              </w:rPr>
              <w:t>$309,568</w:t>
            </w:r>
          </w:p>
        </w:tc>
      </w:tr>
      <w:tr>
        <w:trPr>
          <w:trHeight w:val="153"/>
        </w:trPr>
        <w:tc>
          <w:tcPr>
            <w:tcW w:w="47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2"/>
                <w:szCs w:val="12"/>
                <w:i w:val="1"/>
                <w:iCs w:val="1"/>
                <w:color w:val="auto"/>
              </w:rPr>
              <w:t>Vice President of Accounting</w:t>
            </w:r>
          </w:p>
        </w:tc>
        <w:tc>
          <w:tcPr>
            <w:tcW w:w="1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r>
    </w:tbl>
    <w:p>
      <w:pPr>
        <w:spacing w:after="0" w:line="81"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8"/>
          <w:szCs w:val="8"/>
          <w:i w:val="1"/>
          <w:iCs w:val="1"/>
          <w:color w:val="auto"/>
        </w:rPr>
      </w:pPr>
      <w:r>
        <w:rPr>
          <w:rFonts w:ascii="Arial" w:cs="Arial" w:eastAsia="Arial" w:hAnsi="Arial"/>
          <w:sz w:val="8"/>
          <w:szCs w:val="8"/>
          <w:i w:val="1"/>
          <w:iCs w:val="1"/>
          <w:color w:val="auto"/>
        </w:rPr>
        <w:t>The restricted stock grants granted June 3, 2020 vest one-third on each of June 3, 2021, 2022 and 2023.</w:t>
      </w:r>
    </w:p>
    <w:p>
      <w:pPr>
        <w:spacing w:after="0" w:line="25" w:lineRule="exact"/>
        <w:rPr>
          <w:rFonts w:ascii="Arial" w:cs="Arial" w:eastAsia="Arial" w:hAnsi="Arial"/>
          <w:sz w:val="8"/>
          <w:szCs w:val="8"/>
          <w:i w:val="1"/>
          <w:iCs w:val="1"/>
          <w:color w:val="auto"/>
        </w:rPr>
      </w:pPr>
    </w:p>
    <w:p>
      <w:pPr>
        <w:ind w:left="208" w:right="80" w:hanging="208"/>
        <w:spacing w:after="0" w:line="335" w:lineRule="auto"/>
        <w:tabs>
          <w:tab w:leader="none" w:pos="207" w:val="left"/>
        </w:tabs>
        <w:numPr>
          <w:ilvl w:val="0"/>
          <w:numId w:val="28"/>
        </w:numPr>
        <w:rPr>
          <w:rFonts w:ascii="Arial" w:cs="Arial" w:eastAsia="Arial" w:hAnsi="Arial"/>
          <w:sz w:val="7"/>
          <w:szCs w:val="7"/>
          <w:i w:val="1"/>
          <w:iCs w:val="1"/>
          <w:color w:val="auto"/>
        </w:rPr>
      </w:pPr>
      <w:r>
        <w:rPr>
          <w:rFonts w:ascii="Arial" w:cs="Arial" w:eastAsia="Arial" w:hAnsi="Arial"/>
          <w:sz w:val="7"/>
          <w:szCs w:val="7"/>
          <w:i w:val="1"/>
          <w:iCs w:val="1"/>
          <w:color w:val="auto"/>
        </w:rPr>
        <w:t>This amount represents PSUs granted under the 2019 Plan. PSUs represent the right to receive, upon settlement of the PSUs after the completion of a vesting period, a number of shares of our common stock that may be from zero to two times the number of PSUs granted on the award date, depending on the extent to which our performance criteria have been achieved. The performance criteria for the PSUs are based on the relative ranking of our TSR for the performance period and the TSR of certain peer companies for the performance period. The PSUs can be earned over the performance period June 3, 2020 through June 2, 2023.</w:t>
      </w:r>
    </w:p>
    <w:p>
      <w:pPr>
        <w:ind w:left="208" w:right="180" w:hanging="208"/>
        <w:spacing w:after="0" w:line="291" w:lineRule="auto"/>
        <w:tabs>
          <w:tab w:leader="none" w:pos="207" w:val="left"/>
        </w:tabs>
        <w:numPr>
          <w:ilvl w:val="0"/>
          <w:numId w:val="28"/>
        </w:numPr>
        <w:rPr>
          <w:rFonts w:ascii="Arial" w:cs="Arial" w:eastAsia="Arial" w:hAnsi="Arial"/>
          <w:sz w:val="8"/>
          <w:szCs w:val="8"/>
          <w:i w:val="1"/>
          <w:iCs w:val="1"/>
          <w:color w:val="auto"/>
        </w:rPr>
      </w:pPr>
      <w:r>
        <w:rPr>
          <w:rFonts w:ascii="Arial" w:cs="Arial" w:eastAsia="Arial" w:hAnsi="Arial"/>
          <w:sz w:val="8"/>
          <w:szCs w:val="8"/>
          <w:i w:val="1"/>
          <w:iCs w:val="1"/>
          <w:color w:val="auto"/>
        </w:rPr>
        <w:t>The grant date fair value of restricted stock awards was based upon the closing price for the Company's stock of $5.38 per share on June 3, 2020. The grant date fair value of PSUs was determined to be $8.37 per unit for the PSUs granted on June 3, 2020. The grant date fair value of PSUs was computed based on the target award levels. Total PSU awards granted on June 3, 2020 were 232,088 units.</w:t>
      </w:r>
    </w:p>
    <w:p>
      <w:pPr>
        <w:spacing w:after="0" w:line="3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8"/>
          </w:cols>
          <w:pgMar w:left="292" w:top="131" w:right="299" w:bottom="1440" w:gutter="0" w:footer="0" w:header="0"/>
        </w:sectPr>
      </w:pPr>
    </w:p>
    <w:bookmarkStart w:id="37" w:name="page38"/>
    <w:bookmarkEnd w:id="37"/>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Nonqualified Deferred Compensation</w:t>
      </w:r>
    </w:p>
    <w:p>
      <w:pPr>
        <w:spacing w:after="0" w:line="80"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Under our Executive Life Insurance Plan, we contribute annually five percent of each executive's annual cash compensation to purchase a variable universal life insurance policy on their life. During employment, he may designate a beneficiary to receive payment of the death benefit (reduced by the amount of the premiums paid by us, which are repaid to us), but has no other rights of ownership in the policy. Upon their having attained four years of service and electing retirement, or upon a change in control, the policy is transferred to them. No withdrawals or distributions were made during 2020. The following table sets forth certain information with respect to the non-qualified deferred compensation of the NEOs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83755" cy="1217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755" cy="1217295"/>
                    </a:xfrm>
                    <a:prstGeom prst="rect">
                      <a:avLst/>
                    </a:prstGeom>
                    <a:noFill/>
                  </pic:spPr>
                </pic:pic>
              </a:graphicData>
            </a:graphic>
          </wp:anchor>
        </w:drawing>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560" w:type="dxa"/>
            <w:vAlign w:val="bottom"/>
            <w:shd w:val="clear" w:color="auto" w:fill="D9E1F2"/>
          </w:tcPr>
          <w:p>
            <w:pPr>
              <w:spacing w:after="0"/>
              <w:rPr>
                <w:sz w:val="10"/>
                <w:szCs w:val="10"/>
                <w:color w:val="auto"/>
              </w:rPr>
            </w:pPr>
          </w:p>
        </w:tc>
        <w:tc>
          <w:tcPr>
            <w:tcW w:w="4300" w:type="dxa"/>
            <w:vAlign w:val="bottom"/>
            <w:shd w:val="clear" w:color="auto" w:fill="D9E1F2"/>
          </w:tcPr>
          <w:p>
            <w:pPr>
              <w:jc w:val="center"/>
              <w:ind w:left="2806"/>
              <w:spacing w:after="0"/>
              <w:rPr>
                <w:sz w:val="20"/>
                <w:szCs w:val="20"/>
                <w:color w:val="auto"/>
              </w:rPr>
            </w:pPr>
            <w:r>
              <w:rPr>
                <w:rFonts w:ascii="Arial" w:cs="Arial" w:eastAsia="Arial" w:hAnsi="Arial"/>
                <w:sz w:val="11"/>
                <w:szCs w:val="11"/>
                <w:b w:val="1"/>
                <w:bCs w:val="1"/>
                <w:color w:val="auto"/>
                <w:w w:val="81"/>
              </w:rPr>
              <w:t>2020</w:t>
            </w:r>
          </w:p>
        </w:tc>
        <w:tc>
          <w:tcPr>
            <w:tcW w:w="1220" w:type="dxa"/>
            <w:vAlign w:val="bottom"/>
            <w:vMerge w:val="restart"/>
            <w:shd w:val="clear" w:color="auto" w:fill="D9E1F2"/>
          </w:tcPr>
          <w:p>
            <w:pPr>
              <w:ind w:left="380"/>
              <w:spacing w:after="0"/>
              <w:rPr>
                <w:sz w:val="20"/>
                <w:szCs w:val="20"/>
                <w:color w:val="auto"/>
              </w:rPr>
            </w:pPr>
            <w:r>
              <w:rPr>
                <w:rFonts w:ascii="Arial" w:cs="Arial" w:eastAsia="Arial" w:hAnsi="Arial"/>
                <w:sz w:val="11"/>
                <w:szCs w:val="11"/>
                <w:b w:val="1"/>
                <w:bCs w:val="1"/>
                <w:color w:val="auto"/>
              </w:rPr>
              <w:t>Aggregate</w:t>
            </w:r>
          </w:p>
        </w:tc>
        <w:tc>
          <w:tcPr>
            <w:tcW w:w="1220" w:type="dxa"/>
            <w:vAlign w:val="bottom"/>
            <w:shd w:val="clear" w:color="auto" w:fill="D9E1F2"/>
          </w:tcPr>
          <w:p>
            <w:pPr>
              <w:jc w:val="center"/>
              <w:spacing w:after="0"/>
              <w:rPr>
                <w:sz w:val="20"/>
                <w:szCs w:val="20"/>
                <w:color w:val="auto"/>
              </w:rPr>
            </w:pPr>
            <w:r>
              <w:rPr>
                <w:rFonts w:ascii="Arial" w:cs="Arial" w:eastAsia="Arial" w:hAnsi="Arial"/>
                <w:sz w:val="11"/>
                <w:szCs w:val="11"/>
                <w:b w:val="1"/>
                <w:bCs w:val="1"/>
                <w:color w:val="auto"/>
                <w:w w:val="84"/>
              </w:rPr>
              <w:t>Aggregate</w:t>
            </w:r>
          </w:p>
        </w:tc>
        <w:tc>
          <w:tcPr>
            <w:tcW w:w="0" w:type="dxa"/>
            <w:vAlign w:val="bottom"/>
          </w:tcPr>
          <w:p>
            <w:pPr>
              <w:spacing w:after="0"/>
              <w:rPr>
                <w:sz w:val="1"/>
                <w:szCs w:val="1"/>
                <w:color w:val="auto"/>
              </w:rPr>
            </w:pPr>
          </w:p>
        </w:tc>
      </w:tr>
      <w:tr>
        <w:trPr>
          <w:trHeight w:val="108"/>
        </w:trPr>
        <w:tc>
          <w:tcPr>
            <w:tcW w:w="4560" w:type="dxa"/>
            <w:vAlign w:val="bottom"/>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4300" w:type="dxa"/>
            <w:vAlign w:val="bottom"/>
            <w:shd w:val="clear" w:color="auto" w:fill="D9E1F2"/>
          </w:tcPr>
          <w:p>
            <w:pPr>
              <w:jc w:val="center"/>
              <w:ind w:left="2806"/>
              <w:spacing w:after="0" w:line="108" w:lineRule="exact"/>
              <w:rPr>
                <w:sz w:val="20"/>
                <w:szCs w:val="20"/>
                <w:color w:val="auto"/>
              </w:rPr>
            </w:pPr>
            <w:r>
              <w:rPr>
                <w:rFonts w:ascii="Arial" w:cs="Arial" w:eastAsia="Arial" w:hAnsi="Arial"/>
                <w:sz w:val="11"/>
                <w:szCs w:val="11"/>
                <w:b w:val="1"/>
                <w:bCs w:val="1"/>
                <w:color w:val="auto"/>
                <w:w w:val="87"/>
              </w:rPr>
              <w:t>Company</w:t>
            </w:r>
          </w:p>
        </w:tc>
        <w:tc>
          <w:tcPr>
            <w:tcW w:w="1220" w:type="dxa"/>
            <w:vAlign w:val="bottom"/>
            <w:vMerge w:val="continue"/>
            <w:shd w:val="clear" w:color="auto" w:fill="D9E1F2"/>
          </w:tcPr>
          <w:p>
            <w:pPr>
              <w:spacing w:after="0"/>
              <w:rPr>
                <w:sz w:val="9"/>
                <w:szCs w:val="9"/>
                <w:color w:val="auto"/>
              </w:rPr>
            </w:pPr>
          </w:p>
        </w:tc>
        <w:tc>
          <w:tcPr>
            <w:tcW w:w="1220" w:type="dxa"/>
            <w:vAlign w:val="bottom"/>
            <w:shd w:val="clear" w:color="auto" w:fill="D9E1F2"/>
          </w:tcPr>
          <w:p>
            <w:pPr>
              <w:jc w:val="center"/>
              <w:spacing w:after="0" w:line="108" w:lineRule="exact"/>
              <w:rPr>
                <w:sz w:val="20"/>
                <w:szCs w:val="20"/>
                <w:color w:val="auto"/>
              </w:rPr>
            </w:pPr>
            <w:r>
              <w:rPr>
                <w:rFonts w:ascii="Arial" w:cs="Arial" w:eastAsia="Arial" w:hAnsi="Arial"/>
                <w:sz w:val="11"/>
                <w:szCs w:val="11"/>
                <w:b w:val="1"/>
                <w:bCs w:val="1"/>
                <w:color w:val="auto"/>
                <w:w w:val="90"/>
              </w:rPr>
              <w:t>Balance at</w:t>
            </w:r>
          </w:p>
        </w:tc>
        <w:tc>
          <w:tcPr>
            <w:tcW w:w="0" w:type="dxa"/>
            <w:vAlign w:val="bottom"/>
          </w:tcPr>
          <w:p>
            <w:pPr>
              <w:spacing w:after="0"/>
              <w:rPr>
                <w:sz w:val="1"/>
                <w:szCs w:val="1"/>
                <w:color w:val="auto"/>
              </w:rPr>
            </w:pPr>
          </w:p>
        </w:tc>
      </w:tr>
      <w:tr>
        <w:trPr>
          <w:trHeight w:val="144"/>
        </w:trPr>
        <w:tc>
          <w:tcPr>
            <w:tcW w:w="4560" w:type="dxa"/>
            <w:vAlign w:val="bottom"/>
            <w:vMerge w:val="continue"/>
            <w:shd w:val="clear" w:color="auto" w:fill="D9E1F2"/>
          </w:tcPr>
          <w:p>
            <w:pPr>
              <w:spacing w:after="0"/>
              <w:rPr>
                <w:sz w:val="12"/>
                <w:szCs w:val="12"/>
                <w:color w:val="auto"/>
              </w:rPr>
            </w:pPr>
          </w:p>
        </w:tc>
        <w:tc>
          <w:tcPr>
            <w:tcW w:w="4300" w:type="dxa"/>
            <w:vAlign w:val="bottom"/>
            <w:shd w:val="clear" w:color="auto" w:fill="D9E1F2"/>
          </w:tcPr>
          <w:p>
            <w:pPr>
              <w:jc w:val="center"/>
              <w:ind w:left="2806"/>
              <w:spacing w:after="0" w:line="144" w:lineRule="exact"/>
              <w:rPr>
                <w:sz w:val="20"/>
                <w:szCs w:val="20"/>
                <w:color w:val="auto"/>
              </w:rPr>
            </w:pPr>
            <w:r>
              <w:rPr>
                <w:rFonts w:ascii="Arial" w:cs="Arial" w:eastAsia="Arial" w:hAnsi="Arial"/>
                <w:sz w:val="11"/>
                <w:szCs w:val="11"/>
                <w:b w:val="1"/>
                <w:bCs w:val="1"/>
                <w:color w:val="auto"/>
                <w:w w:val="86"/>
              </w:rPr>
              <w:t>Contributions</w:t>
            </w:r>
            <w:r>
              <w:rPr>
                <w:rFonts w:ascii="Arial" w:cs="Arial" w:eastAsia="Arial" w:hAnsi="Arial"/>
                <w:sz w:val="14"/>
                <w:szCs w:val="14"/>
                <w:b w:val="1"/>
                <w:bCs w:val="1"/>
                <w:color w:val="auto"/>
                <w:w w:val="86"/>
                <w:vertAlign w:val="superscript"/>
              </w:rPr>
              <w:t>(1)</w:t>
            </w:r>
          </w:p>
        </w:tc>
        <w:tc>
          <w:tcPr>
            <w:tcW w:w="1220" w:type="dxa"/>
            <w:vAlign w:val="bottom"/>
            <w:shd w:val="clear" w:color="auto" w:fill="D9E1F2"/>
          </w:tcPr>
          <w:p>
            <w:pPr>
              <w:ind w:left="360"/>
              <w:spacing w:after="0" w:line="144" w:lineRule="exact"/>
              <w:rPr>
                <w:sz w:val="20"/>
                <w:szCs w:val="20"/>
                <w:color w:val="auto"/>
              </w:rPr>
            </w:pPr>
            <w:r>
              <w:rPr>
                <w:rFonts w:ascii="Arial" w:cs="Arial" w:eastAsia="Arial" w:hAnsi="Arial"/>
                <w:sz w:val="11"/>
                <w:szCs w:val="11"/>
                <w:b w:val="1"/>
                <w:bCs w:val="1"/>
                <w:color w:val="auto"/>
              </w:rPr>
              <w:t>Earnings</w:t>
            </w:r>
            <w:r>
              <w:rPr>
                <w:rFonts w:ascii="Arial" w:cs="Arial" w:eastAsia="Arial" w:hAnsi="Arial"/>
                <w:sz w:val="14"/>
                <w:szCs w:val="14"/>
                <w:b w:val="1"/>
                <w:bCs w:val="1"/>
                <w:color w:val="auto"/>
                <w:vertAlign w:val="superscript"/>
              </w:rPr>
              <w:t>(2)</w:t>
            </w:r>
          </w:p>
        </w:tc>
        <w:tc>
          <w:tcPr>
            <w:tcW w:w="1220" w:type="dxa"/>
            <w:vAlign w:val="bottom"/>
            <w:shd w:val="clear" w:color="auto" w:fill="D9E1F2"/>
          </w:tcPr>
          <w:p>
            <w:pPr>
              <w:jc w:val="center"/>
              <w:spacing w:after="0"/>
              <w:rPr>
                <w:sz w:val="20"/>
                <w:szCs w:val="20"/>
                <w:color w:val="auto"/>
              </w:rPr>
            </w:pPr>
            <w:r>
              <w:rPr>
                <w:rFonts w:ascii="Arial" w:cs="Arial" w:eastAsia="Arial" w:hAnsi="Arial"/>
                <w:sz w:val="11"/>
                <w:szCs w:val="11"/>
                <w:b w:val="1"/>
                <w:bCs w:val="1"/>
                <w:color w:val="auto"/>
                <w:w w:val="88"/>
              </w:rPr>
              <w:t>End of Year</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M. Jay Allison</w:t>
            </w:r>
          </w:p>
        </w:tc>
        <w:tc>
          <w:tcPr>
            <w:tcW w:w="1560" w:type="dxa"/>
            <w:vAlign w:val="bottom"/>
          </w:tcPr>
          <w:p>
            <w:pPr>
              <w:jc w:val="right"/>
              <w:ind w:right="560"/>
              <w:spacing w:after="0"/>
              <w:rPr>
                <w:sz w:val="20"/>
                <w:szCs w:val="20"/>
                <w:color w:val="auto"/>
              </w:rPr>
            </w:pPr>
            <w:r>
              <w:rPr>
                <w:rFonts w:ascii="Arial" w:cs="Arial" w:eastAsia="Arial" w:hAnsi="Arial"/>
                <w:sz w:val="12"/>
                <w:szCs w:val="12"/>
                <w:color w:val="auto"/>
              </w:rPr>
              <w:t>$98,925</w:t>
            </w:r>
          </w:p>
        </w:tc>
        <w:tc>
          <w:tcPr>
            <w:tcW w:w="1400" w:type="dxa"/>
            <w:vAlign w:val="bottom"/>
          </w:tcPr>
          <w:p>
            <w:pPr>
              <w:jc w:val="right"/>
              <w:ind w:right="260"/>
              <w:spacing w:after="0"/>
              <w:rPr>
                <w:sz w:val="20"/>
                <w:szCs w:val="20"/>
                <w:color w:val="auto"/>
              </w:rPr>
            </w:pPr>
            <w:r>
              <w:rPr>
                <w:rFonts w:ascii="Arial" w:cs="Arial" w:eastAsia="Arial" w:hAnsi="Arial"/>
                <w:sz w:val="12"/>
                <w:szCs w:val="12"/>
                <w:color w:val="auto"/>
              </w:rPr>
              <w:t>$668,904</w:t>
            </w:r>
          </w:p>
        </w:tc>
        <w:tc>
          <w:tcPr>
            <w:tcW w:w="940" w:type="dxa"/>
            <w:vAlign w:val="bottom"/>
          </w:tcPr>
          <w:p>
            <w:pPr>
              <w:jc w:val="right"/>
              <w:spacing w:after="0"/>
              <w:rPr>
                <w:sz w:val="20"/>
                <w:szCs w:val="20"/>
                <w:color w:val="auto"/>
              </w:rPr>
            </w:pPr>
            <w:r>
              <w:rPr>
                <w:rFonts w:ascii="Arial" w:cs="Arial" w:eastAsia="Arial" w:hAnsi="Arial"/>
                <w:sz w:val="12"/>
                <w:szCs w:val="12"/>
                <w:color w:val="auto"/>
              </w:rPr>
              <w:t>$4,568,763</w:t>
            </w:r>
          </w:p>
        </w:tc>
      </w:tr>
      <w:tr>
        <w:trPr>
          <w:trHeight w:val="147"/>
        </w:trPr>
        <w:tc>
          <w:tcPr>
            <w:tcW w:w="7400" w:type="dxa"/>
            <w:vAlign w:val="bottom"/>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7400" w:type="dxa"/>
            <w:vAlign w:val="bottom"/>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560" w:type="dxa"/>
            <w:vAlign w:val="bottom"/>
            <w:shd w:val="clear" w:color="auto" w:fill="D9E1F2"/>
          </w:tcPr>
          <w:p>
            <w:pPr>
              <w:jc w:val="right"/>
              <w:ind w:right="560"/>
              <w:spacing w:after="0"/>
              <w:rPr>
                <w:sz w:val="20"/>
                <w:szCs w:val="20"/>
                <w:color w:val="auto"/>
              </w:rPr>
            </w:pPr>
            <w:r>
              <w:rPr>
                <w:rFonts w:ascii="Arial" w:cs="Arial" w:eastAsia="Arial" w:hAnsi="Arial"/>
                <w:sz w:val="12"/>
                <w:szCs w:val="12"/>
                <w:color w:val="auto"/>
              </w:rPr>
              <w:t>$63,276</w:t>
            </w:r>
          </w:p>
        </w:tc>
        <w:tc>
          <w:tcPr>
            <w:tcW w:w="1400" w:type="dxa"/>
            <w:vAlign w:val="bottom"/>
            <w:shd w:val="clear" w:color="auto" w:fill="D9E1F2"/>
          </w:tcPr>
          <w:p>
            <w:pPr>
              <w:jc w:val="right"/>
              <w:ind w:right="260"/>
              <w:spacing w:after="0"/>
              <w:rPr>
                <w:sz w:val="20"/>
                <w:szCs w:val="20"/>
                <w:color w:val="auto"/>
              </w:rPr>
            </w:pPr>
            <w:r>
              <w:rPr>
                <w:rFonts w:ascii="Arial" w:cs="Arial" w:eastAsia="Arial" w:hAnsi="Arial"/>
                <w:sz w:val="12"/>
                <w:szCs w:val="12"/>
                <w:color w:val="auto"/>
              </w:rPr>
              <w:t>$413,818</w:t>
            </w:r>
          </w:p>
        </w:tc>
        <w:tc>
          <w:tcPr>
            <w:tcW w:w="940" w:type="dxa"/>
            <w:vAlign w:val="bottom"/>
            <w:shd w:val="clear" w:color="auto" w:fill="D9E1F2"/>
          </w:tcPr>
          <w:p>
            <w:pPr>
              <w:jc w:val="right"/>
              <w:spacing w:after="0"/>
              <w:rPr>
                <w:sz w:val="20"/>
                <w:szCs w:val="20"/>
                <w:color w:val="auto"/>
              </w:rPr>
            </w:pPr>
            <w:r>
              <w:rPr>
                <w:rFonts w:ascii="Arial" w:cs="Arial" w:eastAsia="Arial" w:hAnsi="Arial"/>
                <w:sz w:val="12"/>
                <w:szCs w:val="12"/>
                <w:color w:val="auto"/>
              </w:rPr>
              <w:t>$2,530,601</w:t>
            </w:r>
          </w:p>
        </w:tc>
      </w:tr>
      <w:tr>
        <w:trPr>
          <w:trHeight w:val="153"/>
        </w:trPr>
        <w:tc>
          <w:tcPr>
            <w:tcW w:w="7400" w:type="dxa"/>
            <w:vAlign w:val="bottom"/>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560" w:type="dxa"/>
            <w:vAlign w:val="bottom"/>
            <w:shd w:val="clear" w:color="auto" w:fill="D9E1F2"/>
          </w:tcPr>
          <w:p>
            <w:pPr>
              <w:spacing w:after="0"/>
              <w:rPr>
                <w:sz w:val="13"/>
                <w:szCs w:val="13"/>
                <w:color w:val="auto"/>
              </w:rPr>
            </w:pPr>
          </w:p>
        </w:tc>
        <w:tc>
          <w:tcPr>
            <w:tcW w:w="140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Daniel S. Harrison</w:t>
            </w:r>
          </w:p>
        </w:tc>
        <w:tc>
          <w:tcPr>
            <w:tcW w:w="1560" w:type="dxa"/>
            <w:vAlign w:val="bottom"/>
          </w:tcPr>
          <w:p>
            <w:pPr>
              <w:jc w:val="right"/>
              <w:ind w:right="560"/>
              <w:spacing w:after="0"/>
              <w:rPr>
                <w:sz w:val="20"/>
                <w:szCs w:val="20"/>
                <w:color w:val="auto"/>
              </w:rPr>
            </w:pPr>
            <w:r>
              <w:rPr>
                <w:rFonts w:ascii="Arial" w:cs="Arial" w:eastAsia="Arial" w:hAnsi="Arial"/>
                <w:sz w:val="12"/>
                <w:szCs w:val="12"/>
                <w:color w:val="auto"/>
              </w:rPr>
              <w:t>$47,840</w:t>
            </w:r>
          </w:p>
        </w:tc>
        <w:tc>
          <w:tcPr>
            <w:tcW w:w="1400" w:type="dxa"/>
            <w:vAlign w:val="bottom"/>
          </w:tcPr>
          <w:p>
            <w:pPr>
              <w:jc w:val="right"/>
              <w:ind w:right="260"/>
              <w:spacing w:after="0"/>
              <w:rPr>
                <w:sz w:val="20"/>
                <w:szCs w:val="20"/>
                <w:color w:val="auto"/>
              </w:rPr>
            </w:pPr>
            <w:r>
              <w:rPr>
                <w:rFonts w:ascii="Arial" w:cs="Arial" w:eastAsia="Arial" w:hAnsi="Arial"/>
                <w:sz w:val="12"/>
                <w:szCs w:val="12"/>
                <w:color w:val="auto"/>
              </w:rPr>
              <w:t>$27,831</w:t>
            </w:r>
          </w:p>
        </w:tc>
        <w:tc>
          <w:tcPr>
            <w:tcW w:w="940" w:type="dxa"/>
            <w:vAlign w:val="bottom"/>
          </w:tcPr>
          <w:p>
            <w:pPr>
              <w:jc w:val="right"/>
              <w:spacing w:after="0"/>
              <w:rPr>
                <w:sz w:val="20"/>
                <w:szCs w:val="20"/>
                <w:color w:val="auto"/>
              </w:rPr>
            </w:pPr>
            <w:r>
              <w:rPr>
                <w:rFonts w:ascii="Arial" w:cs="Arial" w:eastAsia="Arial" w:hAnsi="Arial"/>
                <w:sz w:val="12"/>
                <w:szCs w:val="12"/>
                <w:color w:val="auto"/>
              </w:rPr>
              <w:t>$113,888</w:t>
            </w:r>
          </w:p>
        </w:tc>
      </w:tr>
      <w:tr>
        <w:trPr>
          <w:trHeight w:val="146"/>
        </w:trPr>
        <w:tc>
          <w:tcPr>
            <w:tcW w:w="7400" w:type="dxa"/>
            <w:vAlign w:val="bottom"/>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0"/>
        </w:trPr>
        <w:tc>
          <w:tcPr>
            <w:tcW w:w="7400" w:type="dxa"/>
            <w:vAlign w:val="bottom"/>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560" w:type="dxa"/>
            <w:vAlign w:val="bottom"/>
            <w:shd w:val="clear" w:color="auto" w:fill="D9E1F2"/>
          </w:tcPr>
          <w:p>
            <w:pPr>
              <w:jc w:val="right"/>
              <w:ind w:right="560"/>
              <w:spacing w:after="0"/>
              <w:rPr>
                <w:sz w:val="20"/>
                <w:szCs w:val="20"/>
                <w:color w:val="auto"/>
              </w:rPr>
            </w:pPr>
            <w:r>
              <w:rPr>
                <w:rFonts w:ascii="Arial" w:cs="Arial" w:eastAsia="Arial" w:hAnsi="Arial"/>
                <w:sz w:val="12"/>
                <w:szCs w:val="12"/>
                <w:color w:val="auto"/>
              </w:rPr>
              <w:t>$32,014</w:t>
            </w:r>
          </w:p>
        </w:tc>
        <w:tc>
          <w:tcPr>
            <w:tcW w:w="1400" w:type="dxa"/>
            <w:vAlign w:val="bottom"/>
            <w:shd w:val="clear" w:color="auto" w:fill="D9E1F2"/>
          </w:tcPr>
          <w:p>
            <w:pPr>
              <w:jc w:val="right"/>
              <w:ind w:right="260"/>
              <w:spacing w:after="0"/>
              <w:rPr>
                <w:sz w:val="20"/>
                <w:szCs w:val="20"/>
                <w:color w:val="auto"/>
              </w:rPr>
            </w:pPr>
            <w:r>
              <w:rPr>
                <w:rFonts w:ascii="Arial" w:cs="Arial" w:eastAsia="Arial" w:hAnsi="Arial"/>
                <w:sz w:val="12"/>
                <w:szCs w:val="12"/>
                <w:color w:val="auto"/>
              </w:rPr>
              <w:t>$3,877</w:t>
            </w:r>
          </w:p>
        </w:tc>
        <w:tc>
          <w:tcPr>
            <w:tcW w:w="940" w:type="dxa"/>
            <w:vAlign w:val="bottom"/>
            <w:shd w:val="clear" w:color="auto" w:fill="D9E1F2"/>
          </w:tcPr>
          <w:p>
            <w:pPr>
              <w:jc w:val="right"/>
              <w:spacing w:after="0"/>
              <w:rPr>
                <w:sz w:val="20"/>
                <w:szCs w:val="20"/>
                <w:color w:val="auto"/>
              </w:rPr>
            </w:pPr>
            <w:r>
              <w:rPr>
                <w:rFonts w:ascii="Arial" w:cs="Arial" w:eastAsia="Arial" w:hAnsi="Arial"/>
                <w:sz w:val="12"/>
                <w:szCs w:val="12"/>
                <w:color w:val="auto"/>
              </w:rPr>
              <w:t>$20,439</w:t>
            </w:r>
          </w:p>
        </w:tc>
      </w:tr>
      <w:tr>
        <w:trPr>
          <w:trHeight w:val="153"/>
        </w:trPr>
        <w:tc>
          <w:tcPr>
            <w:tcW w:w="7400" w:type="dxa"/>
            <w:vAlign w:val="bottom"/>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560" w:type="dxa"/>
            <w:vAlign w:val="bottom"/>
            <w:shd w:val="clear" w:color="auto" w:fill="D9E1F2"/>
          </w:tcPr>
          <w:p>
            <w:pPr>
              <w:spacing w:after="0"/>
              <w:rPr>
                <w:sz w:val="13"/>
                <w:szCs w:val="13"/>
                <w:color w:val="auto"/>
              </w:rPr>
            </w:pPr>
          </w:p>
        </w:tc>
        <w:tc>
          <w:tcPr>
            <w:tcW w:w="1400" w:type="dxa"/>
            <w:vAlign w:val="bottom"/>
            <w:shd w:val="clear" w:color="auto" w:fill="D9E1F2"/>
          </w:tcPr>
          <w:p>
            <w:pPr>
              <w:spacing w:after="0"/>
              <w:rPr>
                <w:sz w:val="13"/>
                <w:szCs w:val="13"/>
                <w:color w:val="auto"/>
              </w:rPr>
            </w:pPr>
          </w:p>
        </w:tc>
        <w:tc>
          <w:tcPr>
            <w:tcW w:w="940" w:type="dxa"/>
            <w:vAlign w:val="bottom"/>
            <w:shd w:val="clear" w:color="auto" w:fill="D9E1F2"/>
          </w:tcPr>
          <w:p>
            <w:pPr>
              <w:spacing w:after="0"/>
              <w:rPr>
                <w:sz w:val="13"/>
                <w:szCs w:val="13"/>
                <w:color w:val="auto"/>
              </w:rPr>
            </w:pPr>
          </w:p>
        </w:tc>
      </w:tr>
      <w:tr>
        <w:trPr>
          <w:trHeight w:val="153"/>
        </w:trPr>
        <w:tc>
          <w:tcPr>
            <w:tcW w:w="7400" w:type="dxa"/>
            <w:vAlign w:val="bottom"/>
          </w:tcPr>
          <w:p>
            <w:pPr>
              <w:ind w:left="20"/>
              <w:spacing w:after="0"/>
              <w:rPr>
                <w:sz w:val="20"/>
                <w:szCs w:val="20"/>
                <w:color w:val="auto"/>
              </w:rPr>
            </w:pPr>
            <w:r>
              <w:rPr>
                <w:rFonts w:ascii="Arial" w:cs="Arial" w:eastAsia="Arial" w:hAnsi="Arial"/>
                <w:sz w:val="12"/>
                <w:szCs w:val="12"/>
                <w:color w:val="auto"/>
              </w:rPr>
              <w:t>Daniel K. Presley</w:t>
            </w:r>
          </w:p>
        </w:tc>
        <w:tc>
          <w:tcPr>
            <w:tcW w:w="1560" w:type="dxa"/>
            <w:vAlign w:val="bottom"/>
          </w:tcPr>
          <w:p>
            <w:pPr>
              <w:jc w:val="right"/>
              <w:ind w:right="560"/>
              <w:spacing w:after="0"/>
              <w:rPr>
                <w:sz w:val="20"/>
                <w:szCs w:val="20"/>
                <w:color w:val="auto"/>
              </w:rPr>
            </w:pPr>
            <w:r>
              <w:rPr>
                <w:rFonts w:ascii="Arial" w:cs="Arial" w:eastAsia="Arial" w:hAnsi="Arial"/>
                <w:sz w:val="12"/>
                <w:szCs w:val="12"/>
                <w:color w:val="auto"/>
              </w:rPr>
              <w:t>$25,635</w:t>
            </w:r>
          </w:p>
        </w:tc>
        <w:tc>
          <w:tcPr>
            <w:tcW w:w="1400" w:type="dxa"/>
            <w:vAlign w:val="bottom"/>
          </w:tcPr>
          <w:p>
            <w:pPr>
              <w:jc w:val="right"/>
              <w:ind w:right="260"/>
              <w:spacing w:after="0"/>
              <w:rPr>
                <w:sz w:val="20"/>
                <w:szCs w:val="20"/>
                <w:color w:val="auto"/>
              </w:rPr>
            </w:pPr>
            <w:r>
              <w:rPr>
                <w:rFonts w:ascii="Arial" w:cs="Arial" w:eastAsia="Arial" w:hAnsi="Arial"/>
                <w:sz w:val="12"/>
                <w:szCs w:val="12"/>
                <w:color w:val="auto"/>
              </w:rPr>
              <w:t>$197,323</w:t>
            </w:r>
          </w:p>
        </w:tc>
        <w:tc>
          <w:tcPr>
            <w:tcW w:w="940" w:type="dxa"/>
            <w:vAlign w:val="bottom"/>
          </w:tcPr>
          <w:p>
            <w:pPr>
              <w:jc w:val="right"/>
              <w:spacing w:after="0"/>
              <w:rPr>
                <w:sz w:val="20"/>
                <w:szCs w:val="20"/>
                <w:color w:val="auto"/>
              </w:rPr>
            </w:pPr>
            <w:r>
              <w:rPr>
                <w:rFonts w:ascii="Arial" w:cs="Arial" w:eastAsia="Arial" w:hAnsi="Arial"/>
                <w:sz w:val="12"/>
                <w:szCs w:val="12"/>
                <w:color w:val="auto"/>
              </w:rPr>
              <w:t>$849,659</w:t>
            </w:r>
          </w:p>
        </w:tc>
      </w:tr>
      <w:tr>
        <w:trPr>
          <w:trHeight w:val="140"/>
        </w:trPr>
        <w:tc>
          <w:tcPr>
            <w:tcW w:w="7400" w:type="dxa"/>
            <w:vAlign w:val="bottom"/>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94"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8"/>
          <w:szCs w:val="8"/>
          <w:i w:val="1"/>
          <w:iCs w:val="1"/>
          <w:color w:val="auto"/>
        </w:rPr>
      </w:pPr>
      <w:r>
        <w:rPr>
          <w:rFonts w:ascii="Arial" w:cs="Arial" w:eastAsia="Arial" w:hAnsi="Arial"/>
          <w:sz w:val="8"/>
          <w:szCs w:val="8"/>
          <w:i w:val="1"/>
          <w:iCs w:val="1"/>
          <w:color w:val="auto"/>
        </w:rPr>
        <w:t>Company contributions have not been included in the Summary Compensation Table.</w:t>
      </w:r>
    </w:p>
    <w:p>
      <w:pPr>
        <w:spacing w:after="0" w:line="34" w:lineRule="exact"/>
        <w:rPr>
          <w:rFonts w:ascii="Arial" w:cs="Arial" w:eastAsia="Arial" w:hAnsi="Arial"/>
          <w:sz w:val="8"/>
          <w:szCs w:val="8"/>
          <w:i w:val="1"/>
          <w:iCs w:val="1"/>
          <w:color w:val="auto"/>
        </w:rPr>
      </w:pPr>
    </w:p>
    <w:p>
      <w:pPr>
        <w:ind w:left="208" w:hanging="208"/>
        <w:spacing w:after="0"/>
        <w:tabs>
          <w:tab w:leader="none" w:pos="208" w:val="left"/>
        </w:tabs>
        <w:numPr>
          <w:ilvl w:val="0"/>
          <w:numId w:val="29"/>
        </w:numPr>
        <w:rPr>
          <w:rFonts w:ascii="Arial" w:cs="Arial" w:eastAsia="Arial" w:hAnsi="Arial"/>
          <w:sz w:val="8"/>
          <w:szCs w:val="8"/>
          <w:i w:val="1"/>
          <w:iCs w:val="1"/>
          <w:color w:val="auto"/>
        </w:rPr>
      </w:pPr>
      <w:r>
        <w:rPr>
          <w:rFonts w:ascii="Arial" w:cs="Arial" w:eastAsia="Arial" w:hAnsi="Arial"/>
          <w:sz w:val="8"/>
          <w:szCs w:val="8"/>
          <w:i w:val="1"/>
          <w:iCs w:val="1"/>
          <w:color w:val="auto"/>
        </w:rPr>
        <w:t>Above market portion of the aggregate earnings has been included in the Summary Compensation Table in each year.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Potential Payments upon Termination or Change in Control</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ind w:left="8"/>
        <w:spacing w:after="0" w:line="249" w:lineRule="auto"/>
        <w:rPr>
          <w:sz w:val="20"/>
          <w:szCs w:val="20"/>
          <w:color w:val="auto"/>
        </w:rPr>
      </w:pPr>
      <w:r>
        <w:rPr>
          <w:rFonts w:ascii="Arial" w:cs="Arial" w:eastAsia="Arial" w:hAnsi="Arial"/>
          <w:sz w:val="13"/>
          <w:szCs w:val="13"/>
          <w:color w:val="auto"/>
        </w:rPr>
        <w:t>We have employment agreements with our CEO, President, and our Senior Vice President of Corporate Development (collectively the "Executives"). The employment agreements provide that our Executives will maintain the confidentiality of our confidential and proprietary information for as long as the information is not publicly disclosed. These agreements include separate provisions wherein our Executives will receive certain prescribed benefits based upon changes in their employment status or in the event of a change in control. The compensation committee believes that it is in our best interests as well as the best interests of our stockholders to offer such benefits to these executive officers. We compete for executive talent in a highly competitive market in which companies routinely offer similar benefits to senior executives. The compensation committee believes that providing change in control benefits to senior executives allows them to evaluate objectively whether a potential change in control transaction is in the best interest of our stockholders, without having to be concerned regarding their future employment. It allows them to focus on the negotiations during such a transaction when we would require thoughtful leadership to ensure a successful outcome.</w:t>
      </w:r>
    </w:p>
    <w:p>
      <w:pPr>
        <w:spacing w:after="0" w:line="129"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A "change in control" is defined to include a variety of events, including significant changes in stock ownership, changes in our Board, certain mergers and consolidations, and the sale or disposition of all or substantially all of our consolidated assets.</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8"/>
          </w:cols>
          <w:pgMar w:left="292" w:top="13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9"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Under the employment agreements for the CEO and President, as amended and restated effective September 7, 2018, we are required to provide compensation to these officers in the event we terminate the executive's employment without cause or the executive terminates his employment with good reason, including assignment of duties inconsistent with his position or requiring him to be based at another location. If the executive dies, the agreements provide for payment of six months of annualized total compensation (current base salary and target bonus) to the executive's estate. The agreements provide for the payment of severance benefits if the executive's employment is terminated by us without cause or by the executive for good reason (other than within twenty-four months following a change in control) in an amount equal to 150% of the sum of his then current salary and target bonus, plus a payment equal to the cost of continued medical benefits for eighteen months.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If there is a change in control and, within twenty-four months thereafter, the executive terminates his employment for good reason or if the executive's employment is terminated by us without cause, the severance benefit payable to the executive is 299% of the sum of his base salary and target bonus plus a payment equal to the cost of continued medical benefits for eighteen months.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Following the Jerry Jones contribution in 2018, the employment agreements were amended to provide for up to five annual retention bonus payments over a five-year period if the executive remains employed on the specified retention vesting dates beginning on August 14, 2019. If the executive's employment is terminated by us without cause or the executive terminates his employment for good reason or a change in control occurs on or after the initial retention vesting date, then any unpaid portion of the retention bonuses will immediately vest and be paid in a lump sum. Any other severance benefits payable under the employment agreements will be offset and reduced by any unpaid retention bonus.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Under the employment agreement for the Senior Vice President of Corporate Development, that we assumed as part of the acquisition of Covey Park Energy, LLC, we are required to provide compensation to this officer in the event we terminate the executive's employment without cause or the executive terminates his employment with good reason, including assignment of duties inconsistent with his position or requiring him to be based at another location. If the executive dies, the agreement provides for payment of the current base salary through the termination date and any bonus declared but not yet paid to the executive's estate. The agreement provides for the payment of severance benefits if the executive's employment is terminated by us without cause or by the executive for good reason in an amount no less than six months of the sum of his then current salary, plus a payment equal to the cost of continued medical benefits for six months. The Company has the option to extend the payments up to an additional six months.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31" w:right="2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20"/>
        <w:spacing w:after="0" w:line="364" w:lineRule="auto"/>
        <w:rPr>
          <w:sz w:val="20"/>
          <w:szCs w:val="20"/>
          <w:color w:val="auto"/>
        </w:rPr>
      </w:pPr>
      <w:r>
        <w:rPr>
          <w:rFonts w:ascii="Arial" w:cs="Arial" w:eastAsia="Arial" w:hAnsi="Arial"/>
          <w:sz w:val="11"/>
          <w:szCs w:val="11"/>
          <w:color w:val="auto"/>
        </w:rPr>
        <w:t>The following tables quantify compensation that would become payable under the employment agreements and other arrangements if the NEO's employment had terminated on December 31, 2020, based on, where applicable, our closing stock price on that date. Due to the number of factors that affect the amount of any benefits provided upon the events discussed below, actual amounts paid or distributed may be different.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Involuntary Termination Without Cause or Termination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shd w:val="clear" w:color="auto" w:fill="D9E1F2"/>
          </w:tcPr>
          <w:p>
            <w:pPr>
              <w:spacing w:after="0"/>
              <w:rPr>
                <w:sz w:val="10"/>
                <w:szCs w:val="10"/>
                <w:color w:val="auto"/>
              </w:rPr>
            </w:pPr>
          </w:p>
        </w:tc>
        <w:tc>
          <w:tcPr>
            <w:tcW w:w="4780" w:type="dxa"/>
            <w:vAlign w:val="bottom"/>
            <w:vMerge w:val="restart"/>
            <w:shd w:val="clear" w:color="auto" w:fill="D9E1F2"/>
          </w:tcPr>
          <w:p>
            <w:pPr>
              <w:jc w:val="center"/>
              <w:ind w:left="3546"/>
              <w:spacing w:after="0"/>
              <w:rPr>
                <w:sz w:val="20"/>
                <w:szCs w:val="20"/>
                <w:color w:val="auto"/>
              </w:rPr>
            </w:pPr>
            <w:r>
              <w:rPr>
                <w:rFonts w:ascii="Arial" w:cs="Arial" w:eastAsia="Arial" w:hAnsi="Arial"/>
                <w:sz w:val="11"/>
                <w:szCs w:val="11"/>
                <w:b w:val="1"/>
                <w:bCs w:val="1"/>
                <w:color w:val="auto"/>
                <w:w w:val="81"/>
              </w:rPr>
              <w:t>Cash</w:t>
            </w:r>
          </w:p>
        </w:tc>
        <w:tc>
          <w:tcPr>
            <w:tcW w:w="1260" w:type="dxa"/>
            <w:vAlign w:val="bottom"/>
            <w:shd w:val="clear" w:color="auto" w:fill="D9E1F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0" w:type="dxa"/>
            <w:vAlign w:val="bottom"/>
          </w:tcPr>
          <w:p>
            <w:pPr>
              <w:spacing w:after="0"/>
              <w:rPr>
                <w:sz w:val="1"/>
                <w:szCs w:val="1"/>
                <w:color w:val="auto"/>
              </w:rPr>
            </w:pPr>
          </w:p>
        </w:tc>
      </w:tr>
      <w:tr>
        <w:trPr>
          <w:trHeight w:val="108"/>
        </w:trPr>
        <w:tc>
          <w:tcPr>
            <w:tcW w:w="5260" w:type="dxa"/>
            <w:vAlign w:val="bottom"/>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4780" w:type="dxa"/>
            <w:vAlign w:val="bottom"/>
            <w:vMerge w:val="continue"/>
            <w:shd w:val="clear" w:color="auto" w:fill="D9E1F2"/>
          </w:tcPr>
          <w:p>
            <w:pPr>
              <w:spacing w:after="0"/>
              <w:rPr>
                <w:sz w:val="9"/>
                <w:szCs w:val="9"/>
                <w:color w:val="auto"/>
              </w:rPr>
            </w:pPr>
          </w:p>
        </w:tc>
        <w:tc>
          <w:tcPr>
            <w:tcW w:w="1260" w:type="dxa"/>
            <w:vAlign w:val="bottom"/>
            <w:shd w:val="clear" w:color="auto" w:fill="D9E1F2"/>
          </w:tcPr>
          <w:p>
            <w:pPr>
              <w:jc w:val="center"/>
              <w:spacing w:after="0" w:line="108" w:lineRule="exact"/>
              <w:rPr>
                <w:sz w:val="20"/>
                <w:szCs w:val="20"/>
                <w:color w:val="auto"/>
              </w:rPr>
            </w:pPr>
            <w:r>
              <w:rPr>
                <w:rFonts w:ascii="Arial" w:cs="Arial" w:eastAsia="Arial" w:hAnsi="Arial"/>
                <w:sz w:val="11"/>
                <w:szCs w:val="11"/>
                <w:b w:val="1"/>
                <w:bCs w:val="1"/>
                <w:color w:val="auto"/>
                <w:w w:val="89"/>
              </w:rPr>
              <w:t>of Health</w:t>
            </w:r>
          </w:p>
        </w:tc>
        <w:tc>
          <w:tcPr>
            <w:tcW w:w="0" w:type="dxa"/>
            <w:vAlign w:val="bottom"/>
          </w:tcPr>
          <w:p>
            <w:pPr>
              <w:spacing w:after="0"/>
              <w:rPr>
                <w:sz w:val="1"/>
                <w:szCs w:val="1"/>
                <w:color w:val="auto"/>
              </w:rPr>
            </w:pPr>
          </w:p>
        </w:tc>
      </w:tr>
      <w:tr>
        <w:trPr>
          <w:trHeight w:val="144"/>
        </w:trPr>
        <w:tc>
          <w:tcPr>
            <w:tcW w:w="5260" w:type="dxa"/>
            <w:vAlign w:val="bottom"/>
            <w:vMerge w:val="continue"/>
            <w:shd w:val="clear" w:color="auto" w:fill="D9E1F2"/>
          </w:tcPr>
          <w:p>
            <w:pPr>
              <w:spacing w:after="0"/>
              <w:rPr>
                <w:sz w:val="12"/>
                <w:szCs w:val="12"/>
                <w:color w:val="auto"/>
              </w:rPr>
            </w:pPr>
          </w:p>
        </w:tc>
        <w:tc>
          <w:tcPr>
            <w:tcW w:w="4780" w:type="dxa"/>
            <w:vAlign w:val="bottom"/>
            <w:shd w:val="clear" w:color="auto" w:fill="D9E1F2"/>
          </w:tcPr>
          <w:p>
            <w:pPr>
              <w:jc w:val="center"/>
              <w:ind w:left="3546"/>
              <w:spacing w:after="0" w:line="144" w:lineRule="exact"/>
              <w:rPr>
                <w:sz w:val="20"/>
                <w:szCs w:val="20"/>
                <w:color w:val="auto"/>
              </w:rPr>
            </w:pPr>
            <w:r>
              <w:rPr>
                <w:rFonts w:ascii="Arial" w:cs="Arial" w:eastAsia="Arial" w:hAnsi="Arial"/>
                <w:sz w:val="11"/>
                <w:szCs w:val="11"/>
                <w:b w:val="1"/>
                <w:bCs w:val="1"/>
                <w:color w:val="auto"/>
                <w:w w:val="81"/>
              </w:rPr>
              <w:t>Severance</w:t>
            </w:r>
            <w:r>
              <w:rPr>
                <w:rFonts w:ascii="Arial" w:cs="Arial" w:eastAsia="Arial" w:hAnsi="Arial"/>
                <w:sz w:val="14"/>
                <w:szCs w:val="14"/>
                <w:b w:val="1"/>
                <w:bCs w:val="1"/>
                <w:color w:val="auto"/>
                <w:w w:val="81"/>
                <w:vertAlign w:val="superscript"/>
              </w:rPr>
              <w:t>(1)</w:t>
            </w:r>
          </w:p>
        </w:tc>
        <w:tc>
          <w:tcPr>
            <w:tcW w:w="1260" w:type="dxa"/>
            <w:vAlign w:val="bottom"/>
            <w:shd w:val="clear" w:color="auto" w:fill="D9E1F2"/>
          </w:tcPr>
          <w:p>
            <w:pPr>
              <w:jc w:val="center"/>
              <w:spacing w:after="0" w:line="144" w:lineRule="exact"/>
              <w:rPr>
                <w:sz w:val="20"/>
                <w:szCs w:val="20"/>
                <w:color w:val="auto"/>
              </w:rPr>
            </w:pPr>
            <w:r>
              <w:rPr>
                <w:rFonts w:ascii="Arial" w:cs="Arial" w:eastAsia="Arial" w:hAnsi="Arial"/>
                <w:sz w:val="11"/>
                <w:szCs w:val="11"/>
                <w:b w:val="1"/>
                <w:bCs w:val="1"/>
                <w:color w:val="auto"/>
                <w:w w:val="83"/>
              </w:rPr>
              <w:t>Benefits</w:t>
            </w:r>
            <w:r>
              <w:rPr>
                <w:rFonts w:ascii="Arial" w:cs="Arial" w:eastAsia="Arial" w:hAnsi="Arial"/>
                <w:sz w:val="14"/>
                <w:szCs w:val="14"/>
                <w:b w:val="1"/>
                <w:bCs w:val="1"/>
                <w:color w:val="auto"/>
                <w:w w:val="83"/>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83755" cy="1217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1217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8840" w:type="dxa"/>
            <w:vAlign w:val="bottom"/>
          </w:tcPr>
          <w:p>
            <w:pPr>
              <w:ind w:left="20"/>
              <w:spacing w:after="0"/>
              <w:rPr>
                <w:sz w:val="20"/>
                <w:szCs w:val="20"/>
                <w:color w:val="auto"/>
              </w:rPr>
            </w:pPr>
            <w:r>
              <w:rPr>
                <w:rFonts w:ascii="Arial" w:cs="Arial" w:eastAsia="Arial" w:hAnsi="Arial"/>
                <w:sz w:val="12"/>
                <w:szCs w:val="12"/>
                <w:color w:val="auto"/>
              </w:rPr>
              <w:t>M. Jay Allison</w:t>
            </w:r>
          </w:p>
        </w:tc>
        <w:tc>
          <w:tcPr>
            <w:tcW w:w="1580" w:type="dxa"/>
            <w:vAlign w:val="bottom"/>
          </w:tcPr>
          <w:p>
            <w:pPr>
              <w:jc w:val="right"/>
              <w:ind w:right="360"/>
              <w:spacing w:after="0"/>
              <w:rPr>
                <w:sz w:val="20"/>
                <w:szCs w:val="20"/>
                <w:color w:val="auto"/>
              </w:rPr>
            </w:pPr>
            <w:r>
              <w:rPr>
                <w:rFonts w:ascii="Arial" w:cs="Arial" w:eastAsia="Arial" w:hAnsi="Arial"/>
                <w:sz w:val="12"/>
                <w:szCs w:val="12"/>
                <w:color w:val="auto"/>
              </w:rPr>
              <w:t>$8,700,000</w:t>
            </w:r>
          </w:p>
        </w:tc>
        <w:tc>
          <w:tcPr>
            <w:tcW w:w="880" w:type="dxa"/>
            <w:vAlign w:val="bottom"/>
          </w:tcPr>
          <w:p>
            <w:pPr>
              <w:jc w:val="right"/>
              <w:spacing w:after="0"/>
              <w:rPr>
                <w:sz w:val="20"/>
                <w:szCs w:val="20"/>
                <w:color w:val="auto"/>
              </w:rPr>
            </w:pPr>
            <w:r>
              <w:rPr>
                <w:rFonts w:ascii="Arial" w:cs="Arial" w:eastAsia="Arial" w:hAnsi="Arial"/>
                <w:sz w:val="12"/>
                <w:szCs w:val="12"/>
                <w:color w:val="auto"/>
              </w:rPr>
              <w:t>$55,531</w:t>
            </w:r>
          </w:p>
        </w:tc>
      </w:tr>
      <w:tr>
        <w:trPr>
          <w:trHeight w:val="147"/>
        </w:trPr>
        <w:tc>
          <w:tcPr>
            <w:tcW w:w="8840" w:type="dxa"/>
            <w:vAlign w:val="bottom"/>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9"/>
        </w:trPr>
        <w:tc>
          <w:tcPr>
            <w:tcW w:w="8840" w:type="dxa"/>
            <w:vAlign w:val="bottom"/>
            <w:shd w:val="clear" w:color="auto" w:fill="D9E1F2"/>
          </w:tcPr>
          <w:p>
            <w:pPr>
              <w:ind w:left="20"/>
              <w:spacing w:after="0"/>
              <w:rPr>
                <w:sz w:val="20"/>
                <w:szCs w:val="20"/>
                <w:color w:val="auto"/>
              </w:rPr>
            </w:pPr>
            <w:r>
              <w:rPr>
                <w:rFonts w:ascii="Arial" w:cs="Arial" w:eastAsia="Arial" w:hAnsi="Arial"/>
                <w:sz w:val="12"/>
                <w:szCs w:val="12"/>
                <w:color w:val="auto"/>
              </w:rPr>
              <w:t>Roland O. Burns</w:t>
            </w:r>
          </w:p>
        </w:tc>
        <w:tc>
          <w:tcPr>
            <w:tcW w:w="1580" w:type="dxa"/>
            <w:vAlign w:val="bottom"/>
            <w:shd w:val="clear" w:color="auto" w:fill="D9E1F2"/>
          </w:tcPr>
          <w:p>
            <w:pPr>
              <w:jc w:val="right"/>
              <w:ind w:right="360"/>
              <w:spacing w:after="0"/>
              <w:rPr>
                <w:sz w:val="20"/>
                <w:szCs w:val="20"/>
                <w:color w:val="auto"/>
              </w:rPr>
            </w:pPr>
            <w:r>
              <w:rPr>
                <w:rFonts w:ascii="Arial" w:cs="Arial" w:eastAsia="Arial" w:hAnsi="Arial"/>
                <w:sz w:val="12"/>
                <w:szCs w:val="12"/>
                <w:color w:val="auto"/>
              </w:rPr>
              <w:t>$3,432,000</w:t>
            </w:r>
          </w:p>
        </w:tc>
        <w:tc>
          <w:tcPr>
            <w:tcW w:w="880" w:type="dxa"/>
            <w:vAlign w:val="bottom"/>
            <w:shd w:val="clear" w:color="auto" w:fill="D9E1F2"/>
          </w:tcPr>
          <w:p>
            <w:pPr>
              <w:jc w:val="right"/>
              <w:spacing w:after="0"/>
              <w:rPr>
                <w:sz w:val="20"/>
                <w:szCs w:val="20"/>
                <w:color w:val="auto"/>
              </w:rPr>
            </w:pPr>
            <w:r>
              <w:rPr>
                <w:rFonts w:ascii="Arial" w:cs="Arial" w:eastAsia="Arial" w:hAnsi="Arial"/>
                <w:sz w:val="12"/>
                <w:szCs w:val="12"/>
                <w:color w:val="auto"/>
              </w:rPr>
              <w:t>$55,531</w:t>
            </w:r>
          </w:p>
        </w:tc>
      </w:tr>
      <w:tr>
        <w:trPr>
          <w:trHeight w:val="153"/>
        </w:trPr>
        <w:tc>
          <w:tcPr>
            <w:tcW w:w="8840" w:type="dxa"/>
            <w:vAlign w:val="bottom"/>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580" w:type="dxa"/>
            <w:vAlign w:val="bottom"/>
            <w:shd w:val="clear" w:color="auto" w:fill="D9E1F2"/>
          </w:tcPr>
          <w:p>
            <w:pPr>
              <w:spacing w:after="0"/>
              <w:rPr>
                <w:sz w:val="13"/>
                <w:szCs w:val="13"/>
                <w:color w:val="auto"/>
              </w:rPr>
            </w:pPr>
          </w:p>
        </w:tc>
        <w:tc>
          <w:tcPr>
            <w:tcW w:w="880" w:type="dxa"/>
            <w:vAlign w:val="bottom"/>
            <w:shd w:val="clear" w:color="auto" w:fill="D9E1F2"/>
          </w:tcPr>
          <w:p>
            <w:pPr>
              <w:spacing w:after="0"/>
              <w:rPr>
                <w:sz w:val="13"/>
                <w:szCs w:val="13"/>
                <w:color w:val="auto"/>
              </w:rPr>
            </w:pPr>
          </w:p>
        </w:tc>
      </w:tr>
      <w:tr>
        <w:trPr>
          <w:trHeight w:val="153"/>
        </w:trPr>
        <w:tc>
          <w:tcPr>
            <w:tcW w:w="8840" w:type="dxa"/>
            <w:vAlign w:val="bottom"/>
          </w:tcPr>
          <w:p>
            <w:pPr>
              <w:ind w:left="20"/>
              <w:spacing w:after="0"/>
              <w:rPr>
                <w:sz w:val="20"/>
                <w:szCs w:val="20"/>
                <w:color w:val="auto"/>
              </w:rPr>
            </w:pPr>
            <w:r>
              <w:rPr>
                <w:rFonts w:ascii="Arial" w:cs="Arial" w:eastAsia="Arial" w:hAnsi="Arial"/>
                <w:sz w:val="12"/>
                <w:szCs w:val="12"/>
                <w:color w:val="auto"/>
              </w:rPr>
              <w:t>Daniel S. Harrison</w:t>
            </w:r>
          </w:p>
        </w:tc>
        <w:tc>
          <w:tcPr>
            <w:tcW w:w="158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8840" w:type="dxa"/>
            <w:vAlign w:val="bottom"/>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0"/>
        </w:trPr>
        <w:tc>
          <w:tcPr>
            <w:tcW w:w="8840" w:type="dxa"/>
            <w:vAlign w:val="bottom"/>
            <w:shd w:val="clear" w:color="auto" w:fill="D9E1F2"/>
          </w:tcPr>
          <w:p>
            <w:pPr>
              <w:ind w:left="20"/>
              <w:spacing w:after="0"/>
              <w:rPr>
                <w:sz w:val="20"/>
                <w:szCs w:val="20"/>
                <w:color w:val="auto"/>
              </w:rPr>
            </w:pPr>
            <w:r>
              <w:rPr>
                <w:rFonts w:ascii="Arial" w:cs="Arial" w:eastAsia="Arial" w:hAnsi="Arial"/>
                <w:sz w:val="12"/>
                <w:szCs w:val="12"/>
                <w:color w:val="auto"/>
              </w:rPr>
              <w:t>David J. Terry</w:t>
            </w:r>
          </w:p>
        </w:tc>
        <w:tc>
          <w:tcPr>
            <w:tcW w:w="1580" w:type="dxa"/>
            <w:vAlign w:val="bottom"/>
            <w:shd w:val="clear" w:color="auto" w:fill="D9E1F2"/>
          </w:tcPr>
          <w:p>
            <w:pPr>
              <w:jc w:val="right"/>
              <w:ind w:right="360"/>
              <w:spacing w:after="0"/>
              <w:rPr>
                <w:sz w:val="20"/>
                <w:szCs w:val="20"/>
                <w:color w:val="auto"/>
              </w:rPr>
            </w:pPr>
            <w:r>
              <w:rPr>
                <w:rFonts w:ascii="Arial" w:cs="Arial" w:eastAsia="Arial" w:hAnsi="Arial"/>
                <w:sz w:val="12"/>
                <w:szCs w:val="12"/>
                <w:color w:val="auto"/>
              </w:rPr>
              <w:t>$217,500</w:t>
            </w:r>
          </w:p>
        </w:tc>
        <w:tc>
          <w:tcPr>
            <w:tcW w:w="880" w:type="dxa"/>
            <w:vAlign w:val="bottom"/>
            <w:shd w:val="clear" w:color="auto" w:fill="D9E1F2"/>
          </w:tcPr>
          <w:p>
            <w:pPr>
              <w:jc w:val="right"/>
              <w:spacing w:after="0"/>
              <w:rPr>
                <w:sz w:val="20"/>
                <w:szCs w:val="20"/>
                <w:color w:val="auto"/>
              </w:rPr>
            </w:pPr>
            <w:r>
              <w:rPr>
                <w:rFonts w:ascii="Arial" w:cs="Arial" w:eastAsia="Arial" w:hAnsi="Arial"/>
                <w:sz w:val="12"/>
                <w:szCs w:val="12"/>
                <w:color w:val="auto"/>
              </w:rPr>
              <w:t>$18,510</w:t>
            </w:r>
          </w:p>
        </w:tc>
      </w:tr>
      <w:tr>
        <w:trPr>
          <w:trHeight w:val="153"/>
        </w:trPr>
        <w:tc>
          <w:tcPr>
            <w:tcW w:w="8840" w:type="dxa"/>
            <w:vAlign w:val="bottom"/>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580" w:type="dxa"/>
            <w:vAlign w:val="bottom"/>
            <w:shd w:val="clear" w:color="auto" w:fill="D9E1F2"/>
          </w:tcPr>
          <w:p>
            <w:pPr>
              <w:spacing w:after="0"/>
              <w:rPr>
                <w:sz w:val="13"/>
                <w:szCs w:val="13"/>
                <w:color w:val="auto"/>
              </w:rPr>
            </w:pPr>
          </w:p>
        </w:tc>
        <w:tc>
          <w:tcPr>
            <w:tcW w:w="880" w:type="dxa"/>
            <w:vAlign w:val="bottom"/>
            <w:shd w:val="clear" w:color="auto" w:fill="D9E1F2"/>
          </w:tcPr>
          <w:p>
            <w:pPr>
              <w:spacing w:after="0"/>
              <w:rPr>
                <w:sz w:val="13"/>
                <w:szCs w:val="13"/>
                <w:color w:val="auto"/>
              </w:rPr>
            </w:pPr>
          </w:p>
        </w:tc>
      </w:tr>
      <w:tr>
        <w:trPr>
          <w:trHeight w:val="153"/>
        </w:trPr>
        <w:tc>
          <w:tcPr>
            <w:tcW w:w="8840" w:type="dxa"/>
            <w:vAlign w:val="bottom"/>
          </w:tcPr>
          <w:p>
            <w:pPr>
              <w:ind w:left="20"/>
              <w:spacing w:after="0"/>
              <w:rPr>
                <w:sz w:val="20"/>
                <w:szCs w:val="20"/>
                <w:color w:val="auto"/>
              </w:rPr>
            </w:pPr>
            <w:r>
              <w:rPr>
                <w:rFonts w:ascii="Arial" w:cs="Arial" w:eastAsia="Arial" w:hAnsi="Arial"/>
                <w:sz w:val="12"/>
                <w:szCs w:val="12"/>
                <w:color w:val="auto"/>
              </w:rPr>
              <w:t>Daniel K. Presley</w:t>
            </w:r>
          </w:p>
        </w:tc>
        <w:tc>
          <w:tcPr>
            <w:tcW w:w="158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8840" w:type="dxa"/>
            <w:vAlign w:val="bottom"/>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94"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8"/>
          <w:szCs w:val="8"/>
          <w:i w:val="1"/>
          <w:iCs w:val="1"/>
          <w:color w:val="auto"/>
        </w:rPr>
      </w:pPr>
      <w:r>
        <w:rPr>
          <w:rFonts w:ascii="Arial" w:cs="Arial" w:eastAsia="Arial" w:hAnsi="Arial"/>
          <w:sz w:val="8"/>
          <w:szCs w:val="8"/>
          <w:i w:val="1"/>
          <w:iCs w:val="1"/>
          <w:color w:val="auto"/>
        </w:rPr>
        <w:t>For Messrs. Allison and Burns, this amount is equal to the remaining three retention bonus payments under their employment agreements. For Mr. Terry, this amount is equal to 50% of his annual base salary.</w:t>
      </w:r>
    </w:p>
    <w:p>
      <w:pPr>
        <w:spacing w:after="0" w:line="34" w:lineRule="exact"/>
        <w:rPr>
          <w:rFonts w:ascii="Arial" w:cs="Arial" w:eastAsia="Arial" w:hAnsi="Arial"/>
          <w:sz w:val="8"/>
          <w:szCs w:val="8"/>
          <w:i w:val="1"/>
          <w:iCs w:val="1"/>
          <w:color w:val="auto"/>
        </w:rPr>
      </w:pPr>
    </w:p>
    <w:p>
      <w:pPr>
        <w:ind w:left="420" w:hanging="212"/>
        <w:spacing w:after="0"/>
        <w:tabs>
          <w:tab w:leader="none" w:pos="420" w:val="left"/>
        </w:tabs>
        <w:numPr>
          <w:ilvl w:val="0"/>
          <w:numId w:val="30"/>
        </w:numPr>
        <w:rPr>
          <w:rFonts w:ascii="Arial" w:cs="Arial" w:eastAsia="Arial" w:hAnsi="Arial"/>
          <w:sz w:val="8"/>
          <w:szCs w:val="8"/>
          <w:i w:val="1"/>
          <w:iCs w:val="1"/>
          <w:color w:val="auto"/>
        </w:rPr>
      </w:pPr>
      <w:r>
        <w:rPr>
          <w:rFonts w:ascii="Arial" w:cs="Arial" w:eastAsia="Arial" w:hAnsi="Arial"/>
          <w:sz w:val="8"/>
          <w:szCs w:val="8"/>
          <w:i w:val="1"/>
          <w:iCs w:val="1"/>
          <w:color w:val="auto"/>
        </w:rPr>
        <w:t>Amount equal to the cost of continued medical and dental coverage for 18 months for Messrs. Allison and Burns and six months for Mr. Terry.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7640" w:type="dxa"/>
            <w:vAlign w:val="bottom"/>
            <w:tcBorders>
              <w:top w:val="single" w:sz="8" w:color="auto"/>
              <w:left w:val="single" w:sz="8" w:color="auto"/>
            </w:tcBorders>
            <w:shd w:val="clear" w:color="auto" w:fill="D9E1F2"/>
          </w:tcPr>
          <w:p>
            <w:pPr>
              <w:spacing w:after="0"/>
              <w:rPr>
                <w:sz w:val="10"/>
                <w:szCs w:val="10"/>
                <w:color w:val="auto"/>
              </w:rPr>
            </w:pPr>
          </w:p>
        </w:tc>
        <w:tc>
          <w:tcPr>
            <w:tcW w:w="1220" w:type="dxa"/>
            <w:vAlign w:val="bottom"/>
            <w:tcBorders>
              <w:top w:val="single" w:sz="8" w:color="auto"/>
            </w:tcBorders>
            <w:shd w:val="clear" w:color="auto" w:fill="D9E1F2"/>
          </w:tcPr>
          <w:p>
            <w:pPr>
              <w:spacing w:after="0"/>
              <w:rPr>
                <w:sz w:val="10"/>
                <w:szCs w:val="10"/>
                <w:color w:val="auto"/>
              </w:rPr>
            </w:pPr>
          </w:p>
        </w:tc>
        <w:tc>
          <w:tcPr>
            <w:tcW w:w="1400" w:type="dxa"/>
            <w:vAlign w:val="bottom"/>
            <w:tcBorders>
              <w:top w:val="single" w:sz="8" w:color="auto"/>
            </w:tcBorders>
            <w:shd w:val="clear" w:color="auto" w:fill="D9E1F2"/>
          </w:tcPr>
          <w:p>
            <w:pPr>
              <w:spacing w:after="0"/>
              <w:rPr>
                <w:sz w:val="10"/>
                <w:szCs w:val="10"/>
                <w:color w:val="auto"/>
              </w:rPr>
            </w:pPr>
          </w:p>
        </w:tc>
        <w:tc>
          <w:tcPr>
            <w:tcW w:w="1060" w:type="dxa"/>
            <w:vAlign w:val="bottom"/>
            <w:tcBorders>
              <w:top w:val="single" w:sz="8" w:color="auto"/>
              <w:right w:val="single" w:sz="8" w:color="auto"/>
            </w:tcBorders>
            <w:shd w:val="clear" w:color="auto" w:fill="D9E1F2"/>
          </w:tcPr>
          <w:p>
            <w:pPr>
              <w:jc w:val="center"/>
              <w:ind w:right="146"/>
              <w:spacing w:after="0" w:line="117"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08"/>
        </w:trPr>
        <w:tc>
          <w:tcPr>
            <w:tcW w:w="7640" w:type="dxa"/>
            <w:vAlign w:val="bottom"/>
            <w:tcBorders>
              <w:left w:val="single" w:sz="8" w:color="auto"/>
            </w:tcBorders>
            <w:shd w:val="clear" w:color="auto" w:fill="D9E1F2"/>
          </w:tcPr>
          <w:p>
            <w:pPr>
              <w:spacing w:after="0"/>
              <w:rPr>
                <w:sz w:val="9"/>
                <w:szCs w:val="9"/>
                <w:color w:val="auto"/>
              </w:rPr>
            </w:pPr>
          </w:p>
        </w:tc>
        <w:tc>
          <w:tcPr>
            <w:tcW w:w="1220" w:type="dxa"/>
            <w:vAlign w:val="bottom"/>
            <w:shd w:val="clear" w:color="auto" w:fill="D9E1F2"/>
          </w:tcPr>
          <w:p>
            <w:pPr>
              <w:spacing w:after="0"/>
              <w:rPr>
                <w:sz w:val="9"/>
                <w:szCs w:val="9"/>
                <w:color w:val="auto"/>
              </w:rPr>
            </w:pPr>
          </w:p>
        </w:tc>
        <w:tc>
          <w:tcPr>
            <w:tcW w:w="1400" w:type="dxa"/>
            <w:vAlign w:val="bottom"/>
            <w:vMerge w:val="restart"/>
            <w:shd w:val="clear" w:color="auto" w:fill="D9E1F2"/>
          </w:tcPr>
          <w:p>
            <w:pPr>
              <w:jc w:val="right"/>
              <w:ind w:right="206"/>
              <w:spacing w:after="0"/>
              <w:rPr>
                <w:sz w:val="20"/>
                <w:szCs w:val="20"/>
                <w:color w:val="auto"/>
              </w:rPr>
            </w:pPr>
            <w:r>
              <w:rPr>
                <w:rFonts w:ascii="Arial" w:cs="Arial" w:eastAsia="Arial" w:hAnsi="Arial"/>
                <w:sz w:val="11"/>
                <w:szCs w:val="11"/>
                <w:b w:val="1"/>
                <w:bCs w:val="1"/>
                <w:color w:val="auto"/>
                <w:w w:val="94"/>
              </w:rPr>
              <w:t>Continuation of Health</w:t>
            </w:r>
          </w:p>
        </w:tc>
        <w:tc>
          <w:tcPr>
            <w:tcW w:w="1060" w:type="dxa"/>
            <w:vAlign w:val="bottom"/>
            <w:tcBorders>
              <w:right w:val="single" w:sz="8" w:color="auto"/>
            </w:tcBorders>
            <w:shd w:val="clear" w:color="auto" w:fill="D9E1F2"/>
          </w:tcPr>
          <w:p>
            <w:pPr>
              <w:jc w:val="center"/>
              <w:ind w:right="146"/>
              <w:spacing w:after="0" w:line="108" w:lineRule="exact"/>
              <w:rPr>
                <w:sz w:val="20"/>
                <w:szCs w:val="20"/>
                <w:color w:val="auto"/>
              </w:rPr>
            </w:pPr>
            <w:r>
              <w:rPr>
                <w:rFonts w:ascii="Arial" w:cs="Arial" w:eastAsia="Arial" w:hAnsi="Arial"/>
                <w:sz w:val="11"/>
                <w:szCs w:val="11"/>
                <w:b w:val="1"/>
                <w:bCs w:val="1"/>
                <w:color w:val="auto"/>
                <w:w w:val="84"/>
              </w:rPr>
              <w:t>Unvested</w:t>
            </w:r>
          </w:p>
        </w:tc>
        <w:tc>
          <w:tcPr>
            <w:tcW w:w="0" w:type="dxa"/>
            <w:vAlign w:val="bottom"/>
          </w:tcPr>
          <w:p>
            <w:pPr>
              <w:spacing w:after="0"/>
              <w:rPr>
                <w:sz w:val="1"/>
                <w:szCs w:val="1"/>
                <w:color w:val="auto"/>
              </w:rPr>
            </w:pPr>
          </w:p>
        </w:tc>
      </w:tr>
      <w:tr>
        <w:trPr>
          <w:trHeight w:val="108"/>
        </w:trPr>
        <w:tc>
          <w:tcPr>
            <w:tcW w:w="7640" w:type="dxa"/>
            <w:vAlign w:val="bottom"/>
            <w:tcBorders>
              <w:left w:val="single" w:sz="8" w:color="auto"/>
            </w:tcBorders>
            <w:vMerge w:val="restart"/>
            <w:shd w:val="clear" w:color="auto" w:fill="D9E1F2"/>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220" w:type="dxa"/>
            <w:vAlign w:val="bottom"/>
            <w:vMerge w:val="restart"/>
            <w:shd w:val="clear" w:color="auto" w:fill="D9E1F2"/>
          </w:tcPr>
          <w:p>
            <w:pPr>
              <w:jc w:val="right"/>
              <w:ind w:right="146"/>
              <w:spacing w:after="0"/>
              <w:rPr>
                <w:sz w:val="20"/>
                <w:szCs w:val="20"/>
                <w:color w:val="auto"/>
              </w:rPr>
            </w:pPr>
            <w:r>
              <w:rPr>
                <w:rFonts w:ascii="Arial" w:cs="Arial" w:eastAsia="Arial" w:hAnsi="Arial"/>
                <w:sz w:val="11"/>
                <w:szCs w:val="11"/>
                <w:b w:val="1"/>
                <w:bCs w:val="1"/>
                <w:color w:val="auto"/>
              </w:rPr>
              <w:t>Cash Severance</w:t>
            </w:r>
            <w:r>
              <w:rPr>
                <w:rFonts w:ascii="Arial" w:cs="Arial" w:eastAsia="Arial" w:hAnsi="Arial"/>
                <w:sz w:val="14"/>
                <w:szCs w:val="14"/>
                <w:b w:val="1"/>
                <w:bCs w:val="1"/>
                <w:color w:val="auto"/>
                <w:vertAlign w:val="superscript"/>
              </w:rPr>
              <w:t>(1)</w:t>
            </w:r>
          </w:p>
        </w:tc>
        <w:tc>
          <w:tcPr>
            <w:tcW w:w="1400" w:type="dxa"/>
            <w:vAlign w:val="bottom"/>
            <w:vMerge w:val="continue"/>
            <w:shd w:val="clear" w:color="auto" w:fill="D9E1F2"/>
          </w:tcPr>
          <w:p>
            <w:pPr>
              <w:spacing w:after="0"/>
              <w:rPr>
                <w:sz w:val="9"/>
                <w:szCs w:val="9"/>
                <w:color w:val="auto"/>
              </w:rPr>
            </w:pPr>
          </w:p>
        </w:tc>
        <w:tc>
          <w:tcPr>
            <w:tcW w:w="1060" w:type="dxa"/>
            <w:vAlign w:val="bottom"/>
            <w:tcBorders>
              <w:right w:val="single" w:sz="8" w:color="auto"/>
            </w:tcBorders>
            <w:shd w:val="clear" w:color="auto" w:fill="D9E1F2"/>
          </w:tcPr>
          <w:p>
            <w:pPr>
              <w:jc w:val="center"/>
              <w:ind w:right="146"/>
              <w:spacing w:after="0" w:line="108"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44"/>
        </w:trPr>
        <w:tc>
          <w:tcPr>
            <w:tcW w:w="7640" w:type="dxa"/>
            <w:vAlign w:val="bottom"/>
            <w:tcBorders>
              <w:left w:val="single" w:sz="8" w:color="auto"/>
              <w:bottom w:val="single" w:sz="8" w:color="auto"/>
            </w:tcBorders>
            <w:vMerge w:val="continue"/>
            <w:shd w:val="clear" w:color="auto" w:fill="D9E1F2"/>
          </w:tcPr>
          <w:p>
            <w:pPr>
              <w:spacing w:after="0"/>
              <w:rPr>
                <w:sz w:val="12"/>
                <w:szCs w:val="12"/>
                <w:color w:val="auto"/>
              </w:rPr>
            </w:pPr>
          </w:p>
        </w:tc>
        <w:tc>
          <w:tcPr>
            <w:tcW w:w="1220" w:type="dxa"/>
            <w:vAlign w:val="bottom"/>
            <w:tcBorders>
              <w:bottom w:val="single" w:sz="8" w:color="auto"/>
            </w:tcBorders>
            <w:vMerge w:val="continue"/>
            <w:shd w:val="clear" w:color="auto" w:fill="D9E1F2"/>
          </w:tcPr>
          <w:p>
            <w:pPr>
              <w:spacing w:after="0"/>
              <w:rPr>
                <w:sz w:val="12"/>
                <w:szCs w:val="12"/>
                <w:color w:val="auto"/>
              </w:rPr>
            </w:pPr>
          </w:p>
        </w:tc>
        <w:tc>
          <w:tcPr>
            <w:tcW w:w="1400" w:type="dxa"/>
            <w:vAlign w:val="bottom"/>
            <w:tcBorders>
              <w:bottom w:val="single" w:sz="8" w:color="auto"/>
            </w:tcBorders>
            <w:shd w:val="clear" w:color="auto" w:fill="D9E1F2"/>
          </w:tcPr>
          <w:p>
            <w:pPr>
              <w:jc w:val="right"/>
              <w:ind w:right="506"/>
              <w:spacing w:after="0" w:line="144"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4"/>
                <w:szCs w:val="14"/>
                <w:b w:val="1"/>
                <w:bCs w:val="1"/>
                <w:color w:val="auto"/>
                <w:vertAlign w:val="superscript"/>
              </w:rPr>
              <w:t>(2)</w:t>
            </w:r>
          </w:p>
        </w:tc>
        <w:tc>
          <w:tcPr>
            <w:tcW w:w="1060" w:type="dxa"/>
            <w:vAlign w:val="bottom"/>
            <w:tcBorders>
              <w:bottom w:val="single" w:sz="8" w:color="auto"/>
              <w:right w:val="single" w:sz="8" w:color="auto"/>
            </w:tcBorders>
            <w:shd w:val="clear" w:color="auto" w:fill="D9E1F2"/>
          </w:tcPr>
          <w:p>
            <w:pPr>
              <w:jc w:val="center"/>
              <w:ind w:right="146"/>
              <w:spacing w:after="0" w:line="144" w:lineRule="exact"/>
              <w:rPr>
                <w:sz w:val="20"/>
                <w:szCs w:val="20"/>
                <w:color w:val="auto"/>
              </w:rPr>
            </w:pPr>
            <w:r>
              <w:rPr>
                <w:rFonts w:ascii="Arial" w:cs="Arial" w:eastAsia="Arial" w:hAnsi="Arial"/>
                <w:sz w:val="11"/>
                <w:szCs w:val="11"/>
                <w:b w:val="1"/>
                <w:bCs w:val="1"/>
                <w:color w:val="auto"/>
                <w:w w:val="82"/>
              </w:rPr>
              <w:t>Awards</w:t>
            </w:r>
            <w:r>
              <w:rPr>
                <w:rFonts w:ascii="Arial" w:cs="Arial" w:eastAsia="Arial" w:hAnsi="Arial"/>
                <w:sz w:val="14"/>
                <w:szCs w:val="14"/>
                <w:b w:val="1"/>
                <w:bCs w:val="1"/>
                <w:color w:val="auto"/>
                <w:w w:val="82"/>
                <w:vertAlign w:val="superscript"/>
              </w:rPr>
              <w:t>(3)</w:t>
            </w:r>
          </w:p>
        </w:tc>
        <w:tc>
          <w:tcPr>
            <w:tcW w:w="0" w:type="dxa"/>
            <w:vAlign w:val="bottom"/>
          </w:tcPr>
          <w:p>
            <w:pPr>
              <w:spacing w:after="0"/>
              <w:rPr>
                <w:sz w:val="1"/>
                <w:szCs w:val="1"/>
                <w:color w:val="auto"/>
              </w:rPr>
            </w:pPr>
          </w:p>
        </w:tc>
      </w:tr>
      <w:tr>
        <w:trPr>
          <w:trHeight w:val="129"/>
        </w:trPr>
        <w:tc>
          <w:tcPr>
            <w:tcW w:w="7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M. Jay Allison</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$8,700,000</w:t>
            </w:r>
          </w:p>
        </w:tc>
        <w:tc>
          <w:tcPr>
            <w:tcW w:w="1400" w:type="dxa"/>
            <w:vAlign w:val="bottom"/>
          </w:tcPr>
          <w:p>
            <w:pPr>
              <w:jc w:val="right"/>
              <w:ind w:right="166"/>
              <w:spacing w:after="0"/>
              <w:rPr>
                <w:sz w:val="20"/>
                <w:szCs w:val="20"/>
                <w:color w:val="auto"/>
              </w:rPr>
            </w:pPr>
            <w:r>
              <w:rPr>
                <w:rFonts w:ascii="Arial" w:cs="Arial" w:eastAsia="Arial" w:hAnsi="Arial"/>
                <w:sz w:val="11"/>
                <w:szCs w:val="11"/>
                <w:color w:val="auto"/>
              </w:rPr>
              <w:t>$55,531</w:t>
            </w:r>
          </w:p>
        </w:tc>
        <w:tc>
          <w:tcPr>
            <w:tcW w:w="10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$3,446,042</w:t>
            </w:r>
          </w:p>
        </w:tc>
        <w:tc>
          <w:tcPr>
            <w:tcW w:w="0" w:type="dxa"/>
            <w:vAlign w:val="bottom"/>
          </w:tcPr>
          <w:p>
            <w:pPr>
              <w:spacing w:after="0"/>
              <w:rPr>
                <w:sz w:val="1"/>
                <w:szCs w:val="1"/>
                <w:color w:val="auto"/>
              </w:rPr>
            </w:pPr>
          </w:p>
        </w:tc>
      </w:tr>
      <w:tr>
        <w:trPr>
          <w:trHeight w:val="146"/>
        </w:trPr>
        <w:tc>
          <w:tcPr>
            <w:tcW w:w="764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4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1"/>
                <w:szCs w:val="11"/>
                <w:color w:val="auto"/>
              </w:rPr>
              <w:t>Roland O. Burns</w:t>
            </w:r>
          </w:p>
        </w:tc>
        <w:tc>
          <w:tcPr>
            <w:tcW w:w="1220" w:type="dxa"/>
            <w:vAlign w:val="bottom"/>
            <w:shd w:val="clear" w:color="auto" w:fill="D9E1F2"/>
          </w:tcPr>
          <w:p>
            <w:pPr>
              <w:jc w:val="right"/>
              <w:ind w:right="6"/>
              <w:spacing w:after="0"/>
              <w:rPr>
                <w:sz w:val="20"/>
                <w:szCs w:val="20"/>
                <w:color w:val="auto"/>
              </w:rPr>
            </w:pPr>
            <w:r>
              <w:rPr>
                <w:rFonts w:ascii="Arial" w:cs="Arial" w:eastAsia="Arial" w:hAnsi="Arial"/>
                <w:sz w:val="11"/>
                <w:szCs w:val="11"/>
                <w:color w:val="auto"/>
              </w:rPr>
              <w:t>$3,432,000</w:t>
            </w:r>
          </w:p>
        </w:tc>
        <w:tc>
          <w:tcPr>
            <w:tcW w:w="1400" w:type="dxa"/>
            <w:vAlign w:val="bottom"/>
            <w:shd w:val="clear" w:color="auto" w:fill="D9E1F2"/>
          </w:tcPr>
          <w:p>
            <w:pPr>
              <w:jc w:val="right"/>
              <w:ind w:right="166"/>
              <w:spacing w:after="0"/>
              <w:rPr>
                <w:sz w:val="20"/>
                <w:szCs w:val="20"/>
                <w:color w:val="auto"/>
              </w:rPr>
            </w:pPr>
            <w:r>
              <w:rPr>
                <w:rFonts w:ascii="Arial" w:cs="Arial" w:eastAsia="Arial" w:hAnsi="Arial"/>
                <w:sz w:val="11"/>
                <w:szCs w:val="11"/>
                <w:color w:val="auto"/>
              </w:rPr>
              <w:t>$55,531</w:t>
            </w:r>
          </w:p>
        </w:tc>
        <w:tc>
          <w:tcPr>
            <w:tcW w:w="106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$2,339,130</w:t>
            </w:r>
          </w:p>
        </w:tc>
        <w:tc>
          <w:tcPr>
            <w:tcW w:w="0" w:type="dxa"/>
            <w:vAlign w:val="bottom"/>
          </w:tcPr>
          <w:p>
            <w:pPr>
              <w:spacing w:after="0"/>
              <w:rPr>
                <w:sz w:val="1"/>
                <w:szCs w:val="1"/>
                <w:color w:val="auto"/>
              </w:rPr>
            </w:pPr>
          </w:p>
        </w:tc>
      </w:tr>
      <w:tr>
        <w:trPr>
          <w:trHeight w:val="148"/>
        </w:trPr>
        <w:tc>
          <w:tcPr>
            <w:tcW w:w="764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President and Chief Financial Officer</w:t>
            </w:r>
          </w:p>
        </w:tc>
        <w:tc>
          <w:tcPr>
            <w:tcW w:w="1220" w:type="dxa"/>
            <w:vAlign w:val="bottom"/>
            <w:shd w:val="clear" w:color="auto" w:fill="D9E1F2"/>
          </w:tcPr>
          <w:p>
            <w:pPr>
              <w:spacing w:after="0"/>
              <w:rPr>
                <w:sz w:val="12"/>
                <w:szCs w:val="12"/>
                <w:color w:val="auto"/>
              </w:rPr>
            </w:pPr>
          </w:p>
        </w:tc>
        <w:tc>
          <w:tcPr>
            <w:tcW w:w="140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Daniel S. Harrison</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$2,263,122</w:t>
            </w:r>
          </w:p>
        </w:tc>
        <w:tc>
          <w:tcPr>
            <w:tcW w:w="0" w:type="dxa"/>
            <w:vAlign w:val="bottom"/>
          </w:tcPr>
          <w:p>
            <w:pPr>
              <w:spacing w:after="0"/>
              <w:rPr>
                <w:sz w:val="1"/>
                <w:szCs w:val="1"/>
                <w:color w:val="auto"/>
              </w:rPr>
            </w:pPr>
          </w:p>
        </w:tc>
      </w:tr>
      <w:tr>
        <w:trPr>
          <w:trHeight w:val="146"/>
        </w:trPr>
        <w:tc>
          <w:tcPr>
            <w:tcW w:w="7640" w:type="dxa"/>
            <w:vAlign w:val="bottom"/>
            <w:tcBorders>
              <w:left w:val="single" w:sz="8" w:color="auto"/>
            </w:tcBorders>
          </w:tcPr>
          <w:p>
            <w:pPr>
              <w:ind w:left="180"/>
              <w:spacing w:after="0"/>
              <w:rPr>
                <w:sz w:val="20"/>
                <w:szCs w:val="20"/>
                <w:color w:val="auto"/>
              </w:rPr>
            </w:pPr>
            <w:r>
              <w:rPr>
                <w:rFonts w:ascii="Arial" w:cs="Arial" w:eastAsia="Arial" w:hAnsi="Arial"/>
                <w:sz w:val="11"/>
                <w:szCs w:val="11"/>
                <w:i w:val="1"/>
                <w:iCs w:val="1"/>
                <w:color w:val="auto"/>
              </w:rPr>
              <w:t>Chief Operating Officer</w:t>
            </w:r>
          </w:p>
        </w:tc>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40" w:type="dxa"/>
            <w:vAlign w:val="bottom"/>
            <w:tcBorders>
              <w:left w:val="single" w:sz="8" w:color="auto"/>
            </w:tcBorders>
            <w:shd w:val="clear" w:color="auto" w:fill="D9E1F2"/>
          </w:tcPr>
          <w:p>
            <w:pPr>
              <w:ind w:left="20"/>
              <w:spacing w:after="0"/>
              <w:rPr>
                <w:sz w:val="20"/>
                <w:szCs w:val="20"/>
                <w:color w:val="auto"/>
              </w:rPr>
            </w:pPr>
            <w:r>
              <w:rPr>
                <w:rFonts w:ascii="Arial" w:cs="Arial" w:eastAsia="Arial" w:hAnsi="Arial"/>
                <w:sz w:val="11"/>
                <w:szCs w:val="11"/>
                <w:color w:val="auto"/>
              </w:rPr>
              <w:t>David J. Terry</w:t>
            </w:r>
          </w:p>
        </w:tc>
        <w:tc>
          <w:tcPr>
            <w:tcW w:w="1220" w:type="dxa"/>
            <w:vAlign w:val="bottom"/>
            <w:shd w:val="clear" w:color="auto" w:fill="D9E1F2"/>
          </w:tcPr>
          <w:p>
            <w:pPr>
              <w:jc w:val="right"/>
              <w:ind w:right="6"/>
              <w:spacing w:after="0"/>
              <w:rPr>
                <w:sz w:val="20"/>
                <w:szCs w:val="20"/>
                <w:color w:val="auto"/>
              </w:rPr>
            </w:pPr>
            <w:r>
              <w:rPr>
                <w:rFonts w:ascii="Arial" w:cs="Arial" w:eastAsia="Arial" w:hAnsi="Arial"/>
                <w:sz w:val="11"/>
                <w:szCs w:val="11"/>
                <w:color w:val="auto"/>
              </w:rPr>
              <w:t>—</w:t>
            </w:r>
          </w:p>
        </w:tc>
        <w:tc>
          <w:tcPr>
            <w:tcW w:w="1400" w:type="dxa"/>
            <w:vAlign w:val="bottom"/>
            <w:shd w:val="clear" w:color="auto" w:fill="D9E1F2"/>
          </w:tcPr>
          <w:p>
            <w:pPr>
              <w:jc w:val="right"/>
              <w:ind w:right="16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shd w:val="clear" w:color="auto" w:fill="D9E1F2"/>
          </w:tcPr>
          <w:p>
            <w:pPr>
              <w:jc w:val="right"/>
              <w:ind w:right="26"/>
              <w:spacing w:after="0"/>
              <w:rPr>
                <w:sz w:val="20"/>
                <w:szCs w:val="20"/>
                <w:color w:val="auto"/>
              </w:rPr>
            </w:pPr>
            <w:r>
              <w:rPr>
                <w:rFonts w:ascii="Arial" w:cs="Arial" w:eastAsia="Arial" w:hAnsi="Arial"/>
                <w:sz w:val="11"/>
                <w:szCs w:val="11"/>
                <w:color w:val="auto"/>
              </w:rPr>
              <w:t>$979,435</w:t>
            </w:r>
          </w:p>
        </w:tc>
        <w:tc>
          <w:tcPr>
            <w:tcW w:w="0" w:type="dxa"/>
            <w:vAlign w:val="bottom"/>
          </w:tcPr>
          <w:p>
            <w:pPr>
              <w:spacing w:after="0"/>
              <w:rPr>
                <w:sz w:val="1"/>
                <w:szCs w:val="1"/>
                <w:color w:val="auto"/>
              </w:rPr>
            </w:pPr>
          </w:p>
        </w:tc>
      </w:tr>
      <w:tr>
        <w:trPr>
          <w:trHeight w:val="148"/>
        </w:trPr>
        <w:tc>
          <w:tcPr>
            <w:tcW w:w="7640" w:type="dxa"/>
            <w:vAlign w:val="bottom"/>
            <w:tcBorders>
              <w:left w:val="single" w:sz="8" w:color="auto"/>
            </w:tcBorders>
            <w:shd w:val="clear" w:color="auto" w:fill="D9E1F2"/>
          </w:tcPr>
          <w:p>
            <w:pPr>
              <w:ind w:left="180"/>
              <w:spacing w:after="0"/>
              <w:rPr>
                <w:sz w:val="20"/>
                <w:szCs w:val="20"/>
                <w:color w:val="auto"/>
              </w:rPr>
            </w:pPr>
            <w:r>
              <w:rPr>
                <w:rFonts w:ascii="Arial" w:cs="Arial" w:eastAsia="Arial" w:hAnsi="Arial"/>
                <w:sz w:val="11"/>
                <w:szCs w:val="11"/>
                <w:i w:val="1"/>
                <w:iCs w:val="1"/>
                <w:color w:val="auto"/>
              </w:rPr>
              <w:t>Senior Vice President of Corporate Development</w:t>
            </w:r>
          </w:p>
        </w:tc>
        <w:tc>
          <w:tcPr>
            <w:tcW w:w="1220" w:type="dxa"/>
            <w:vAlign w:val="bottom"/>
            <w:shd w:val="clear" w:color="auto" w:fill="D9E1F2"/>
          </w:tcPr>
          <w:p>
            <w:pPr>
              <w:spacing w:after="0"/>
              <w:rPr>
                <w:sz w:val="12"/>
                <w:szCs w:val="12"/>
                <w:color w:val="auto"/>
              </w:rPr>
            </w:pPr>
          </w:p>
        </w:tc>
        <w:tc>
          <w:tcPr>
            <w:tcW w:w="1400" w:type="dxa"/>
            <w:vAlign w:val="bottom"/>
            <w:shd w:val="clear" w:color="auto" w:fill="D9E1F2"/>
          </w:tcPr>
          <w:p>
            <w:pPr>
              <w:spacing w:after="0"/>
              <w:rPr>
                <w:sz w:val="12"/>
                <w:szCs w:val="12"/>
                <w:color w:val="auto"/>
              </w:rPr>
            </w:pPr>
          </w:p>
        </w:tc>
        <w:tc>
          <w:tcPr>
            <w:tcW w:w="1060" w:type="dxa"/>
            <w:vAlign w:val="bottom"/>
            <w:tcBorders>
              <w:right w:val="single" w:sz="8" w:color="auto"/>
            </w:tcBorders>
            <w:shd w:val="clear" w:color="auto" w:fill="D9E1F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Daniel K. Presley</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$607,644</w:t>
            </w:r>
          </w:p>
        </w:tc>
        <w:tc>
          <w:tcPr>
            <w:tcW w:w="0" w:type="dxa"/>
            <w:vAlign w:val="bottom"/>
          </w:tcPr>
          <w:p>
            <w:pPr>
              <w:spacing w:after="0"/>
              <w:rPr>
                <w:sz w:val="1"/>
                <w:szCs w:val="1"/>
                <w:color w:val="auto"/>
              </w:rPr>
            </w:pPr>
          </w:p>
        </w:tc>
      </w:tr>
      <w:tr>
        <w:trPr>
          <w:trHeight w:val="146"/>
        </w:trPr>
        <w:tc>
          <w:tcPr>
            <w:tcW w:w="764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1"/>
                <w:szCs w:val="11"/>
                <w:i w:val="1"/>
                <w:iCs w:val="1"/>
                <w:color w:val="auto"/>
              </w:rPr>
              <w:t>Vice President of Accounting</w:t>
            </w:r>
          </w:p>
        </w:tc>
        <w:tc>
          <w:tcPr>
            <w:tcW w:w="1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8"/>
          <w:szCs w:val="8"/>
          <w:i w:val="1"/>
          <w:iCs w:val="1"/>
          <w:color w:val="auto"/>
        </w:rPr>
      </w:pPr>
      <w:r>
        <w:rPr>
          <w:rFonts w:ascii="Arial" w:cs="Arial" w:eastAsia="Arial" w:hAnsi="Arial"/>
          <w:sz w:val="8"/>
          <w:szCs w:val="8"/>
          <w:i w:val="1"/>
          <w:iCs w:val="1"/>
          <w:color w:val="auto"/>
        </w:rPr>
        <w:t>For Messrs. Allison and Burns, this amount is equal to the remaining three retention bonus payments under their employment agreements.</w:t>
      </w:r>
    </w:p>
    <w:p>
      <w:pPr>
        <w:spacing w:after="0" w:line="25" w:lineRule="exact"/>
        <w:rPr>
          <w:rFonts w:ascii="Arial" w:cs="Arial" w:eastAsia="Arial" w:hAnsi="Arial"/>
          <w:sz w:val="8"/>
          <w:szCs w:val="8"/>
          <w:i w:val="1"/>
          <w:iCs w:val="1"/>
          <w:color w:val="auto"/>
        </w:rPr>
      </w:pPr>
    </w:p>
    <w:p>
      <w:pPr>
        <w:ind w:left="420" w:hanging="212"/>
        <w:spacing w:after="0"/>
        <w:tabs>
          <w:tab w:leader="none" w:pos="420" w:val="left"/>
        </w:tabs>
        <w:numPr>
          <w:ilvl w:val="0"/>
          <w:numId w:val="31"/>
        </w:numPr>
        <w:rPr>
          <w:rFonts w:ascii="Arial" w:cs="Arial" w:eastAsia="Arial" w:hAnsi="Arial"/>
          <w:sz w:val="8"/>
          <w:szCs w:val="8"/>
          <w:i w:val="1"/>
          <w:iCs w:val="1"/>
          <w:color w:val="auto"/>
        </w:rPr>
      </w:pPr>
      <w:r>
        <w:rPr>
          <w:rFonts w:ascii="Arial" w:cs="Arial" w:eastAsia="Arial" w:hAnsi="Arial"/>
          <w:sz w:val="8"/>
          <w:szCs w:val="8"/>
          <w:i w:val="1"/>
          <w:iCs w:val="1"/>
          <w:color w:val="auto"/>
        </w:rPr>
        <w:t>Amount equal to the cost of continued medical and dental coverage for 18 months for Messrs. Allison and Burns.</w:t>
      </w:r>
    </w:p>
    <w:p>
      <w:pPr>
        <w:spacing w:after="0" w:line="34" w:lineRule="exact"/>
        <w:rPr>
          <w:rFonts w:ascii="Arial" w:cs="Arial" w:eastAsia="Arial" w:hAnsi="Arial"/>
          <w:sz w:val="8"/>
          <w:szCs w:val="8"/>
          <w:i w:val="1"/>
          <w:iCs w:val="1"/>
          <w:color w:val="auto"/>
        </w:rPr>
      </w:pPr>
    </w:p>
    <w:p>
      <w:pPr>
        <w:ind w:left="420" w:hanging="212"/>
        <w:spacing w:after="0"/>
        <w:tabs>
          <w:tab w:leader="none" w:pos="420" w:val="left"/>
        </w:tabs>
        <w:numPr>
          <w:ilvl w:val="0"/>
          <w:numId w:val="31"/>
        </w:numPr>
        <w:rPr>
          <w:rFonts w:ascii="Arial" w:cs="Arial" w:eastAsia="Arial" w:hAnsi="Arial"/>
          <w:sz w:val="8"/>
          <w:szCs w:val="8"/>
          <w:i w:val="1"/>
          <w:iCs w:val="1"/>
          <w:color w:val="auto"/>
        </w:rPr>
      </w:pPr>
      <w:r>
        <w:rPr>
          <w:rFonts w:ascii="Arial" w:cs="Arial" w:eastAsia="Arial" w:hAnsi="Arial"/>
          <w:sz w:val="8"/>
          <w:szCs w:val="8"/>
          <w:i w:val="1"/>
          <w:iCs w:val="1"/>
          <w:color w:val="auto"/>
        </w:rPr>
        <w:t>The value of the stock awards is based on our December 31, 2020 closing stock price of $4.37 per share; PSU awards vesting in 2022 and 2023 are assumed to achieve maximum award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225CAB"/>
        </w:rPr>
        <w:t>Ratio of Annual Compensation for the CEO to our Median Employee</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As required by Section 953(b) of the Dodd-Frank Wall Street Reform and Consumer Protection Act and Item 402(u) of Regulation S-K, we are providing the following information about the relationship of the 2020 annual total compensation of our Chairman and CEO, Mr. Allison, and the median of the annual total compensation of our employees (excluding the Chairman and CEO).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For 2020, our last completed fiscal year:</w:t>
      </w:r>
    </w:p>
    <w:p>
      <w:pPr>
        <w:spacing w:after="0" w:line="76"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annual total compensation of our Chairman and CEO was $5,327,544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median of the annual total compensation of our employees (excluding our Chairman and CEO) was $115,898.</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Based on this information, for 2020, we estimate the ratio of the annual total compensation of our Chairman and CEO to the median of the annual total compensation of all employees to be 46:1.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We identified our median employee and determined the pay ratio using the methodology and the material assumptions, adjustments, and estimates described below.</w:t>
      </w:r>
    </w:p>
    <w:p>
      <w:pPr>
        <w:spacing w:after="0" w:line="76" w:lineRule="exact"/>
        <w:rPr>
          <w:sz w:val="20"/>
          <w:szCs w:val="20"/>
          <w:color w:val="auto"/>
        </w:rPr>
      </w:pPr>
    </w:p>
    <w:p>
      <w:pPr>
        <w:ind w:left="420" w:hanging="212"/>
        <w:spacing w:after="0" w:line="271" w:lineRule="auto"/>
        <w:tabs>
          <w:tab w:leader="none" w:pos="4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determined that, as of December 31, 2020, our employee population of full-time, part-time and temporary employees consisted of 204 individuals working at our parent company and all consolidated subsidiaries.</w:t>
      </w:r>
    </w:p>
    <w:p>
      <w:pPr>
        <w:spacing w:after="0" w:line="40" w:lineRule="exact"/>
        <w:rPr>
          <w:rFonts w:ascii="Arial" w:cs="Arial" w:eastAsia="Arial" w:hAnsi="Arial"/>
          <w:sz w:val="13"/>
          <w:szCs w:val="13"/>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To identify the "median employee" from our employee population, we first determined the amount of each employee's "taxable earnings" for the period January 1, 2020 through December 31, 2020.</w:t>
      </w:r>
    </w:p>
    <w:p>
      <w:pPr>
        <w:spacing w:after="0" w:line="87" w:lineRule="exact"/>
        <w:rPr>
          <w:rFonts w:ascii="Arial" w:cs="Arial" w:eastAsia="Arial" w:hAnsi="Arial"/>
          <w:sz w:val="12"/>
          <w:szCs w:val="12"/>
          <w:color w:val="auto"/>
        </w:rPr>
      </w:pPr>
    </w:p>
    <w:p>
      <w:pPr>
        <w:ind w:left="420" w:hanging="212"/>
        <w:spacing w:after="0" w:line="271" w:lineRule="auto"/>
        <w:tabs>
          <w:tab w:leader="none" w:pos="4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then identified our median employee from our employee population by arraying and sorting the employees by the foregoing earnings measure and choosing the employee ranked in the middle of the population.</w:t>
      </w:r>
    </w:p>
    <w:p>
      <w:pPr>
        <w:spacing w:after="0" w:line="40" w:lineRule="exact"/>
        <w:rPr>
          <w:rFonts w:ascii="Arial" w:cs="Arial" w:eastAsia="Arial" w:hAnsi="Arial"/>
          <w:sz w:val="13"/>
          <w:szCs w:val="13"/>
          <w:color w:val="auto"/>
        </w:rPr>
      </w:pPr>
    </w:p>
    <w:p>
      <w:pPr>
        <w:ind w:left="420" w:hanging="212"/>
        <w:spacing w:after="0" w:line="271" w:lineRule="auto"/>
        <w:tabs>
          <w:tab w:leader="none" w:pos="4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annual total compensation for our Chairman and CEO represents the amount reported for our Chairman and CEO in the "Total" column of our 2020 Summary Compensation Table included on page 29 of this Proxy Statement.</w:t>
      </w:r>
    </w:p>
    <w:p>
      <w:pPr>
        <w:spacing w:after="0" w:line="40" w:lineRule="exact"/>
        <w:rPr>
          <w:rFonts w:ascii="Arial" w:cs="Arial" w:eastAsia="Arial" w:hAnsi="Arial"/>
          <w:sz w:val="13"/>
          <w:szCs w:val="13"/>
          <w:color w:val="auto"/>
        </w:rPr>
      </w:pPr>
    </w:p>
    <w:p>
      <w:pPr>
        <w:ind w:left="420" w:hanging="212"/>
        <w:spacing w:after="0" w:line="271" w:lineRule="auto"/>
        <w:tabs>
          <w:tab w:leader="none" w:pos="41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annual total compensation of our median employee was calculated based on the same methodology used to determine our named executive officers' compensation disclosed in our 2020 Summary Compensation Table.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ratios reported above, as other companies have different employee populations and compensation practices and may use different methodologies, exclusions, estimates and assumptions in calculating their own pay ratios.</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Business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Board does not know of any business that will properly come before the Annual Meeting other than that described above. If any other business should properly come before the Annual Meeting, it is intended that the shares represented by proxies will be voted in accordance with the judgment of the persons named in the proxies.</w:t>
      </w:r>
    </w:p>
    <w:p>
      <w:pPr>
        <w:spacing w:after="0" w:line="1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Stockholder Proposals and Nominations for the 2022 Annual Meeting</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Any stockholder who desires to submit a proposal or director nominee for consideration at our annual meeting of stockholders in 2022 and wishes to have such proposal or nominee included in our proxy materials must submit the proposal or nominee to us at our principal executive offices no later than December 14, 2021 unless we notify the stockholder otherwise. Only those proposals or nominations that are timely received by our Corporate Secretary and proper for stockholder action (and otherwise in accordance with Rule 14a-8 of the Exchange Act) will be included in our proxy materials. Such written notice must set forth (i) the name and address of the stockholder who intends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131" w:right="299" w:bottom="1440" w:gutter="0" w:footer="0" w:header="0"/>
        </w:sectPr>
      </w:pPr>
    </w:p>
    <w:bookmarkStart w:id="41" w:name="page42"/>
    <w:bookmarkEnd w:id="41"/>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bring business before the meeting; (ii) the specific nature of the business he or she seeks to bring before the meeting; and (iii) a representation that the stockholder is a holder of record of our shares entitled to vote at such meeting and intends to appear in person or by proxy at the meeting to bring the business specified in the notice before the meeting.</w:t>
      </w:r>
    </w:p>
    <w:p>
      <w:pPr>
        <w:spacing w:after="0" w:line="112"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Written request for inclusion of any stockholder proposal or director nomination should be addressed to: Roland O. Burns, Corporate Secretary, Comstock Resources, Inc., 5300 Town and Country Blvd., Suite 500, Frisco, Texas 75034. We recommend that such proposal be sent by certified mail, return receipt requested. Any stockholder who intends to bring business to the annual meeting of stockholders in 2022 (including any director nominations), but not include the business in our proxy statement, must give written notice to our Corporate Secretary at the address set forth above by not earlier than February 1, 2022 and not later than March 1, 2022. Such notice must comply in all respects with the requirements set forth in our bylaws.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There were no stockholder proposals submitted for the 2021 Annual Meeting.</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Electronic Delivery of Proxy Statement and Annual Report</w:t>
      </w:r>
    </w:p>
    <w:p>
      <w:pPr>
        <w:spacing w:after="0" w:line="80" w:lineRule="exact"/>
        <w:rPr>
          <w:sz w:val="20"/>
          <w:szCs w:val="20"/>
          <w:color w:val="auto"/>
        </w:rPr>
      </w:pPr>
    </w:p>
    <w:p>
      <w:pPr>
        <w:jc w:val="both"/>
        <w:ind w:left="8"/>
        <w:spacing w:after="0" w:line="271" w:lineRule="auto"/>
        <w:rPr>
          <w:sz w:val="20"/>
          <w:szCs w:val="20"/>
          <w:color w:val="auto"/>
        </w:rPr>
      </w:pPr>
      <w:r>
        <w:rPr>
          <w:rFonts w:ascii="Arial" w:cs="Arial" w:eastAsia="Arial" w:hAnsi="Arial"/>
          <w:sz w:val="13"/>
          <w:szCs w:val="13"/>
          <w:color w:val="auto"/>
        </w:rPr>
        <w:t>Stockholders who received printed copies of the proxy materials can elect to view future proxy statements and annual reports over the Internet instead of receiving paper copies in the mail. You can choose this option and save Comstock the cost of producing and mailing these documents, reduce the amount of mail you receive and help preserve environmental resources.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3"/>
          <w:szCs w:val="13"/>
          <w:color w:val="auto"/>
        </w:rPr>
        <w:t>You may sign up for this option by:</w:t>
      </w:r>
    </w:p>
    <w:p>
      <w:pPr>
        <w:spacing w:after="0" w:line="76"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3"/>
          <w:szCs w:val="13"/>
          <w:color w:val="auto"/>
        </w:rPr>
      </w:pPr>
      <w:r>
        <w:rPr>
          <w:rFonts w:ascii="Arial" w:cs="Arial" w:eastAsia="Arial" w:hAnsi="Arial"/>
          <w:sz w:val="13"/>
          <w:szCs w:val="13"/>
          <w:color w:val="auto"/>
        </w:rPr>
        <w:t>following the instructions provided on your Proxy Card; or</w:t>
      </w:r>
    </w:p>
    <w:p>
      <w:pPr>
        <w:spacing w:after="0" w:line="75" w:lineRule="exact"/>
        <w:rPr>
          <w:rFonts w:ascii="Arial" w:cs="Arial" w:eastAsia="Arial" w:hAnsi="Arial"/>
          <w:sz w:val="13"/>
          <w:szCs w:val="13"/>
          <w:color w:val="auto"/>
        </w:rPr>
      </w:pPr>
    </w:p>
    <w:p>
      <w:pPr>
        <w:ind w:left="208" w:hanging="208"/>
        <w:spacing w:after="0"/>
        <w:tabs>
          <w:tab w:leader="none" w:pos="208" w:val="left"/>
        </w:tabs>
        <w:numPr>
          <w:ilvl w:val="0"/>
          <w:numId w:val="34"/>
        </w:numPr>
        <w:rPr>
          <w:rFonts w:ascii="Arial" w:cs="Arial" w:eastAsia="Arial" w:hAnsi="Arial"/>
          <w:sz w:val="13"/>
          <w:szCs w:val="13"/>
          <w:color w:val="auto"/>
        </w:rPr>
      </w:pPr>
      <w:r>
        <w:rPr>
          <w:rFonts w:ascii="Arial" w:cs="Arial" w:eastAsia="Arial" w:hAnsi="Arial"/>
          <w:sz w:val="13"/>
          <w:szCs w:val="13"/>
          <w:color w:val="auto"/>
        </w:rPr>
        <w:t>following the instructions provided when you vote over the Internet.</w:t>
      </w:r>
    </w:p>
    <w:p>
      <w:pPr>
        <w:spacing w:after="0" w:line="148"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 xml:space="preserve">If you choose to view future proxy statements and annual reports over the Internet and you are a street-name stockholder as of the applicable record date, you will receive an e-mail message next year containing the Internet address to use to access Comstock's proxy statement and annual report. The e-mail also will include instructions for voting over the Internet. You will have the opportunity to opt out at any time by following the instructions on </w:t>
      </w:r>
      <w:r>
        <w:rPr>
          <w:rFonts w:ascii="Arial" w:cs="Arial" w:eastAsia="Arial" w:hAnsi="Arial"/>
          <w:sz w:val="13"/>
          <w:szCs w:val="13"/>
          <w:i w:val="1"/>
          <w:iCs w:val="1"/>
          <w:color w:val="auto"/>
        </w:rPr>
        <w:t>www.proxyvote.com</w:t>
      </w:r>
      <w:r>
        <w:rPr>
          <w:rFonts w:ascii="Arial" w:cs="Arial" w:eastAsia="Arial" w:hAnsi="Arial"/>
          <w:sz w:val="13"/>
          <w:szCs w:val="13"/>
          <w:color w:val="auto"/>
        </w:rPr>
        <w:t>. You do not have to re-elect Internet access each year.</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225CAB"/>
        </w:rPr>
        <w:t>Householding of Annual Meeting Materials</w:t>
      </w:r>
    </w:p>
    <w:p>
      <w:pPr>
        <w:spacing w:after="0" w:line="80"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w:t>
      </w:r>
    </w:p>
    <w:p>
      <w:pPr>
        <w:spacing w:after="0" w:line="121"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3"/>
          <w:szCs w:val="13"/>
          <w:color w:val="auto"/>
        </w:rPr>
        <w:t>However, if stockholders prefer to receive multiple sets of our disclosure documents at the same address this year or in future years, the stockholders should follow the instructions described below, and we will send a separate copy to each stockholder.</w:t>
      </w:r>
    </w:p>
    <w:p>
      <w:pPr>
        <w:spacing w:after="0" w:line="112"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3"/>
          <w:szCs w:val="13"/>
          <w:color w:val="auto"/>
        </w:rPr>
        <w:t>If the shares are registered in the name of the stockholder, the stockholder should contact us at 5300 Town and Country Blvd., Suite 500, Frisco, Texas 75034, Attn: Investor Relations, telephone number (800) 877-1322 to inform us of their request. If a bank, broker or other nominee holds the shares, the stockholder should contact the bank, broker or other nominee directly.</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8"/>
          </w:cols>
          <w:pgMar w:left="292" w:top="131" w:right="29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Stockholder List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A list of stockholders of record will be available for examination at the Company's corporate headquarters during normal business hours for a period of ten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83755" cy="668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668655"/>
                    </a:xfrm>
                    <a:prstGeom prst="rect">
                      <a:avLst/>
                    </a:prstGeom>
                    <a:noFill/>
                  </pic:spPr>
                </pic:pic>
              </a:graphicData>
            </a:graphic>
          </wp:anchor>
        </w:drawing>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225CAB"/>
        </w:rPr>
        <w:t>ANNUAL REPORT ON FORM 10-K</w:t>
      </w:r>
    </w:p>
    <w:p>
      <w:pPr>
        <w:spacing w:after="0" w:line="103" w:lineRule="exact"/>
        <w:rPr>
          <w:sz w:val="20"/>
          <w:szCs w:val="20"/>
          <w:color w:val="auto"/>
        </w:rPr>
      </w:pPr>
    </w:p>
    <w:p>
      <w:pPr>
        <w:ind w:left="60"/>
        <w:spacing w:after="0" w:line="277" w:lineRule="auto"/>
        <w:rPr>
          <w:sz w:val="20"/>
          <w:szCs w:val="20"/>
          <w:color w:val="auto"/>
        </w:rPr>
      </w:pPr>
      <w:r>
        <w:rPr>
          <w:rFonts w:ascii="Arial" w:cs="Arial" w:eastAsia="Arial" w:hAnsi="Arial"/>
          <w:sz w:val="13"/>
          <w:szCs w:val="13"/>
          <w:b w:val="1"/>
          <w:bCs w:val="1"/>
          <w:color w:val="225CAB"/>
        </w:rPr>
        <w:t>We are mailing our 2020 Annual Report on Form 10-K to stockholders who elected to receive a printed copy of this proxy statement. Additional copies of our Annual Report on Form 10-K for the year ended December 31, 2020 are available without charge from our Investor Relations Department.</w:t>
      </w:r>
    </w:p>
    <w:p>
      <w:pPr>
        <w:spacing w:after="0" w:line="60" w:lineRule="exact"/>
        <w:rPr>
          <w:sz w:val="20"/>
          <w:szCs w:val="20"/>
          <w:color w:val="auto"/>
        </w:rPr>
      </w:pPr>
    </w:p>
    <w:p>
      <w:pPr>
        <w:ind w:left="60"/>
        <w:spacing w:after="0" w:line="277" w:lineRule="auto"/>
        <w:rPr>
          <w:sz w:val="20"/>
          <w:szCs w:val="20"/>
          <w:color w:val="auto"/>
        </w:rPr>
      </w:pPr>
      <w:r>
        <w:rPr>
          <w:rFonts w:ascii="Arial" w:cs="Arial" w:eastAsia="Arial" w:hAnsi="Arial"/>
          <w:sz w:val="13"/>
          <w:szCs w:val="13"/>
          <w:b w:val="1"/>
          <w:bCs w:val="1"/>
          <w:color w:val="225CAB"/>
        </w:rPr>
        <w:t xml:space="preserve">Our SEC filings, including our 2020 Annual Report on Form 10-K, are available online, at no charge, at </w:t>
      </w:r>
      <w:r>
        <w:rPr>
          <w:rFonts w:ascii="Arial" w:cs="Arial" w:eastAsia="Arial" w:hAnsi="Arial"/>
          <w:sz w:val="13"/>
          <w:szCs w:val="13"/>
          <w:b w:val="1"/>
          <w:bCs w:val="1"/>
          <w:i w:val="1"/>
          <w:iCs w:val="1"/>
          <w:color w:val="225CAB"/>
        </w:rPr>
        <w:t>www.comstockresources.com</w:t>
      </w:r>
      <w:r>
        <w:rPr>
          <w:rFonts w:ascii="Arial" w:cs="Arial" w:eastAsia="Arial" w:hAnsi="Arial"/>
          <w:sz w:val="13"/>
          <w:szCs w:val="13"/>
          <w:b w:val="1"/>
          <w:bCs w:val="1"/>
          <w:color w:val="225CAB"/>
        </w:rPr>
        <w:t xml:space="preserve">, Investors, SEC Filings, or through the Securities and Exchange Commission's website at </w:t>
      </w:r>
      <w:r>
        <w:rPr>
          <w:rFonts w:ascii="Arial" w:cs="Arial" w:eastAsia="Arial" w:hAnsi="Arial"/>
          <w:sz w:val="13"/>
          <w:szCs w:val="13"/>
          <w:b w:val="1"/>
          <w:bCs w:val="1"/>
          <w:i w:val="1"/>
          <w:iCs w:val="1"/>
          <w:color w:val="225CAB"/>
        </w:rPr>
        <w:t>www.sec.gov.</w:t>
      </w:r>
    </w:p>
    <w:p>
      <w:pPr>
        <w:spacing w:after="0" w:line="244" w:lineRule="exact"/>
        <w:rPr>
          <w:sz w:val="20"/>
          <w:szCs w:val="20"/>
          <w:color w:val="auto"/>
        </w:rPr>
      </w:pPr>
    </w:p>
    <w:p>
      <w:pPr>
        <w:ind w:left="8600"/>
        <w:spacing w:after="0"/>
        <w:rPr>
          <w:sz w:val="20"/>
          <w:szCs w:val="20"/>
          <w:color w:val="auto"/>
        </w:rPr>
      </w:pPr>
      <w:r>
        <w:rPr>
          <w:rFonts w:ascii="Arial" w:cs="Arial" w:eastAsia="Arial" w:hAnsi="Arial"/>
          <w:sz w:val="13"/>
          <w:szCs w:val="13"/>
          <w:color w:val="auto"/>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5464175</wp:posOffset>
            </wp:positionH>
            <wp:positionV relativeFrom="paragraph">
              <wp:posOffset>43180</wp:posOffset>
            </wp:positionV>
            <wp:extent cx="1000125" cy="14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0125" cy="1428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600"/>
        <w:spacing w:after="0"/>
        <w:rPr>
          <w:sz w:val="20"/>
          <w:szCs w:val="20"/>
          <w:color w:val="auto"/>
        </w:rPr>
      </w:pPr>
      <w:r>
        <w:rPr>
          <w:rFonts w:ascii="Arial" w:cs="Arial" w:eastAsia="Arial" w:hAnsi="Arial"/>
          <w:sz w:val="13"/>
          <w:szCs w:val="13"/>
          <w:color w:val="auto"/>
        </w:rPr>
        <w:t>Secretary</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Frisco, Texas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April 23, 2021</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120"/>
          </w:cols>
          <w:pgMar w:left="300" w:top="131" w:right="479" w:bottom="1440" w:gutter="0" w:footer="0" w:header="0"/>
        </w:sectPr>
      </w:pPr>
    </w:p>
    <w:bookmarkStart w:id="43" w:name="page44"/>
    <w:bookmarkEnd w:id="43"/>
    <w:p>
      <w:pPr>
        <w:spacing w:after="0"/>
        <w:rPr>
          <w:rFonts w:ascii="Arial" w:cs="Arial" w:eastAsia="Arial" w:hAnsi="Arial"/>
          <w:sz w:val="10"/>
          <w:szCs w:val="10"/>
          <w:u w:val="single" w:color="auto"/>
          <w:color w:val="0000FF"/>
        </w:rPr>
      </w:pPr>
      <w:hyperlink w:anchor="page4">
        <w:r>
          <w:rPr>
            <w:rFonts w:ascii="Arial" w:cs="Arial" w:eastAsia="Arial" w:hAnsi="Arial"/>
            <w:sz w:val="10"/>
            <w:szCs w:val="1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275590</wp:posOffset>
            </wp:positionV>
            <wp:extent cx="3909060" cy="5074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09060" cy="507492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44" w:name="page45"/>
    <w:bookmarkEnd w:id="44"/>
    <w:p>
      <w:pPr>
        <w:spacing w:after="0"/>
        <w:rPr>
          <w:rFonts w:ascii="Arial" w:cs="Arial" w:eastAsia="Arial" w:hAnsi="Arial"/>
          <w:sz w:val="10"/>
          <w:szCs w:val="10"/>
          <w:u w:val="single" w:color="auto"/>
          <w:color w:val="0000FF"/>
        </w:rPr>
      </w:pPr>
      <w:hyperlink w:anchor="page4">
        <w:r>
          <w:rPr>
            <w:rFonts w:ascii="Arial" w:cs="Arial" w:eastAsia="Arial" w:hAnsi="Arial"/>
            <w:sz w:val="10"/>
            <w:szCs w:val="1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275590</wp:posOffset>
            </wp:positionV>
            <wp:extent cx="3909060" cy="5057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09060" cy="5057775"/>
                    </a:xfrm>
                    <a:prstGeom prst="rect">
                      <a:avLst/>
                    </a:prstGeom>
                    <a:noFill/>
                  </pic:spPr>
                </pic:pic>
              </a:graphicData>
            </a:graphic>
          </wp:anchor>
        </w:drawing>
      </w:r>
    </w:p>
    <w:sectPr>
      <w:pgSz w:w="11900" w:h="16838" w:orient="portrait"/>
      <w:cols w:equalWidth="0" w:num="1">
        <w:col w:w="10159"/>
      </w:cols>
      <w:pgMar w:left="3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x"/>
      <w:numFmt w:val="bullet"/>
      <w:start w:val="1"/>
    </w:lvl>
  </w:abstractNum>
  <w:abstractNum w:abstractNumId="2">
    <w:nsid w:val="3F2DBA31"/>
    <w:multiLevelType w:val="hybridMultilevel"/>
    <w:lvl w:ilvl="0">
      <w:lvlJc w:val="left"/>
      <w:lvlText w:val="o"/>
      <w:numFmt w:val="bullet"/>
      <w:start w:val="1"/>
    </w:lvl>
  </w:abstractNum>
  <w:abstractNum w:abstractNumId="3">
    <w:nsid w:val="7C83E458"/>
    <w:multiLevelType w:val="hybridMultilevel"/>
    <w:lvl w:ilvl="0">
      <w:lvlJc w:val="left"/>
      <w:lvlText w:val="x"/>
      <w:numFmt w:val="bullet"/>
      <w:start w:val="1"/>
    </w:lvl>
  </w:abstractNum>
  <w:abstractNum w:abstractNumId="4">
    <w:nsid w:val="257130A3"/>
    <w:multiLevelType w:val="hybridMultilevel"/>
    <w:lvl w:ilvl="0">
      <w:lvlJc w:val="left"/>
      <w:lvlText w:val="o"/>
      <w:numFmt w:val="bullet"/>
      <w:start w:val="1"/>
    </w:lvl>
    <w:lvl w:ilvl="1">
      <w:lvlJc w:val="left"/>
      <w:lvlText w:val="%2)"/>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2021-04-23T09:12:00Z</dcterms:created>
  <dcterms:modified xsi:type="dcterms:W3CDTF">2021-04-23T09:12:00Z</dcterms:modified>
</cp:coreProperties>
</file>