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05" w:lineRule="exact"/>
        <w:rPr>
          <w:sz w:val="24"/>
          <w:szCs w:val="24"/>
          <w:color w:val="auto"/>
        </w:rPr>
      </w:pPr>
    </w:p>
    <w:p>
      <w:pPr>
        <w:jc w:val="center"/>
        <w:ind w:left="3620" w:right="700" w:hanging="3612"/>
        <w:spacing w:after="0" w:line="359" w:lineRule="auto"/>
        <w:tabs>
          <w:tab w:leader="none" w:pos="444"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 For the quarterly period ended March 31, 2026</w:t>
      </w: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25" w:lineRule="exact"/>
        <w:rPr>
          <w:rFonts w:ascii="MS PGothic" w:cs="MS PGothic" w:eastAsia="MS PGothic" w:hAnsi="MS PGothic"/>
          <w:sz w:val="20"/>
          <w:szCs w:val="20"/>
          <w:color w:val="auto"/>
          <w:highlight w:val="black"/>
        </w:rPr>
      </w:pPr>
    </w:p>
    <w:p>
      <w:pPr>
        <w:ind w:left="442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18"/>
          <w:szCs w:val="18"/>
          <w:b w:val="1"/>
          <w:bCs w:val="1"/>
          <w:color w:val="auto"/>
        </w:rPr>
        <w:t>Commission File No. 001-03262</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COMSTOCK RESOURCES,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3760" w:type="dxa"/>
            <w:vAlign w:val="bottom"/>
          </w:tcPr>
          <w:p>
            <w:pPr>
              <w:jc w:val="center"/>
              <w:ind w:left="177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60" w:type="dxa"/>
            <w:vAlign w:val="bottom"/>
          </w:tcPr>
          <w:p>
            <w:pPr>
              <w:spacing w:after="0"/>
              <w:rPr>
                <w:sz w:val="18"/>
                <w:szCs w:val="18"/>
                <w:color w:val="auto"/>
              </w:rPr>
            </w:pPr>
          </w:p>
        </w:tc>
        <w:tc>
          <w:tcPr>
            <w:tcW w:w="3740" w:type="dxa"/>
            <w:vAlign w:val="bottom"/>
          </w:tcPr>
          <w:p>
            <w:pPr>
              <w:jc w:val="center"/>
              <w:ind w:right="1841"/>
              <w:spacing w:after="0"/>
              <w:rPr>
                <w:sz w:val="20"/>
                <w:szCs w:val="20"/>
                <w:color w:val="auto"/>
              </w:rPr>
            </w:pPr>
            <w:r>
              <w:rPr>
                <w:rFonts w:ascii="Times New Roman" w:cs="Times New Roman" w:eastAsia="Times New Roman" w:hAnsi="Times New Roman"/>
                <w:sz w:val="18"/>
                <w:szCs w:val="18"/>
                <w:b w:val="1"/>
                <w:bCs w:val="1"/>
                <w:color w:val="auto"/>
                <w:w w:val="98"/>
              </w:rPr>
              <w:t>94-1667468</w:t>
            </w:r>
          </w:p>
        </w:tc>
      </w:tr>
      <w:tr>
        <w:trPr>
          <w:trHeight w:val="149"/>
        </w:trPr>
        <w:tc>
          <w:tcPr>
            <w:tcW w:w="3760" w:type="dxa"/>
            <w:vAlign w:val="bottom"/>
          </w:tcPr>
          <w:p>
            <w:pPr>
              <w:jc w:val="center"/>
              <w:ind w:lef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60" w:type="dxa"/>
            <w:vAlign w:val="bottom"/>
          </w:tcPr>
          <w:p>
            <w:pPr>
              <w:spacing w:after="0"/>
              <w:rPr>
                <w:sz w:val="12"/>
                <w:szCs w:val="12"/>
                <w:color w:val="auto"/>
              </w:rPr>
            </w:pPr>
          </w:p>
        </w:tc>
        <w:tc>
          <w:tcPr>
            <w:tcW w:w="3740" w:type="dxa"/>
            <w:vAlign w:val="bottom"/>
          </w:tcPr>
          <w:p>
            <w:pPr>
              <w:jc w:val="center"/>
              <w:ind w:right="18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60" w:type="dxa"/>
            <w:vAlign w:val="bottom"/>
          </w:tcPr>
          <w:p>
            <w:pPr>
              <w:jc w:val="center"/>
              <w:ind w:lef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60" w:type="dxa"/>
            <w:vAlign w:val="bottom"/>
          </w:tcPr>
          <w:p>
            <w:pPr>
              <w:spacing w:after="0"/>
              <w:rPr>
                <w:sz w:val="16"/>
                <w:szCs w:val="16"/>
                <w:color w:val="auto"/>
              </w:rPr>
            </w:pPr>
          </w:p>
        </w:tc>
        <w:tc>
          <w:tcPr>
            <w:tcW w:w="3740" w:type="dxa"/>
            <w:vAlign w:val="bottom"/>
          </w:tcPr>
          <w:p>
            <w:pPr>
              <w:jc w:val="center"/>
              <w:ind w:right="184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96"/>
        </w:trPr>
        <w:tc>
          <w:tcPr>
            <w:tcW w:w="1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5300 Town and Country Blvd., Suite 500, Frisco, Texas 75034</w:t>
            </w:r>
          </w:p>
        </w:tc>
      </w:tr>
      <w:tr>
        <w:trPr>
          <w:trHeight w:val="151"/>
        </w:trPr>
        <w:tc>
          <w:tcPr>
            <w:tcW w:w="3760" w:type="dxa"/>
            <w:vAlign w:val="bottom"/>
          </w:tcPr>
          <w:p>
            <w:pPr>
              <w:spacing w:after="0"/>
              <w:rPr>
                <w:sz w:val="13"/>
                <w:szCs w:val="13"/>
                <w:color w:val="auto"/>
              </w:rPr>
            </w:pPr>
          </w:p>
        </w:tc>
        <w:tc>
          <w:tcPr>
            <w:tcW w:w="37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40" w:type="dxa"/>
            <w:vAlign w:val="bottom"/>
          </w:tcPr>
          <w:p>
            <w:pPr>
              <w:spacing w:after="0"/>
              <w:rPr>
                <w:sz w:val="13"/>
                <w:szCs w:val="13"/>
                <w:color w:val="auto"/>
              </w:rPr>
            </w:pPr>
          </w:p>
        </w:tc>
      </w:tr>
      <w:tr>
        <w:trPr>
          <w:trHeight w:val="238"/>
        </w:trPr>
        <w:tc>
          <w:tcPr>
            <w:tcW w:w="376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Telephone No.: (972) 668-8800</w:t>
            </w:r>
          </w:p>
        </w:tc>
        <w:tc>
          <w:tcPr>
            <w:tcW w:w="3740" w:type="dxa"/>
            <w:vAlign w:val="bottom"/>
          </w:tcPr>
          <w:p>
            <w:pPr>
              <w:spacing w:after="0"/>
              <w:rPr>
                <w:sz w:val="20"/>
                <w:szCs w:val="20"/>
                <w:color w:val="auto"/>
              </w:rPr>
            </w:pPr>
          </w:p>
        </w:tc>
      </w:tr>
      <w:tr>
        <w:trPr>
          <w:trHeight w:val="318"/>
        </w:trPr>
        <w:tc>
          <w:tcPr>
            <w:tcW w:w="376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40" w:type="dxa"/>
            <w:vAlign w:val="bottom"/>
          </w:tcPr>
          <w:p>
            <w:pPr>
              <w:spacing w:after="0"/>
              <w:rPr>
                <w:sz w:val="24"/>
                <w:szCs w:val="24"/>
                <w:color w:val="auto"/>
              </w:rPr>
            </w:pPr>
          </w:p>
        </w:tc>
      </w:tr>
      <w:tr>
        <w:trPr>
          <w:trHeight w:val="144"/>
        </w:trPr>
        <w:tc>
          <w:tcPr>
            <w:tcW w:w="376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79"/>
        </w:trPr>
        <w:tc>
          <w:tcPr>
            <w:tcW w:w="376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 par value $0.50 (per share)</w:t>
            </w:r>
          </w:p>
        </w:tc>
        <w:tc>
          <w:tcPr>
            <w:tcW w:w="376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CRK</w:t>
            </w:r>
          </w:p>
        </w:tc>
        <w:tc>
          <w:tcPr>
            <w:tcW w:w="374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New York Stock Exchange</w:t>
            </w:r>
          </w:p>
        </w:tc>
      </w:tr>
      <w:tr>
        <w:trPr>
          <w:trHeight w:val="196"/>
        </w:trPr>
        <w:tc>
          <w:tcPr>
            <w:tcW w:w="3760" w:type="dxa"/>
            <w:vAlign w:val="bottom"/>
            <w:tcBorders>
              <w:left w:val="single" w:sz="8" w:color="auto"/>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CRK</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 Texas</w:t>
            </w:r>
          </w:p>
        </w:tc>
      </w:tr>
    </w:tbl>
    <w:p>
      <w:pPr>
        <w:spacing w:after="0" w:line="108" w:lineRule="exact"/>
        <w:rPr>
          <w:sz w:val="24"/>
          <w:szCs w:val="24"/>
          <w:color w:val="auto"/>
        </w:rPr>
      </w:pPr>
    </w:p>
    <w:p>
      <w:pPr>
        <w:jc w:val="both"/>
        <w:ind w:firstLine="562"/>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4"/>
          <w:szCs w:val="24"/>
          <w:color w:val="auto"/>
        </w:rPr>
      </w:pPr>
    </w:p>
    <w:p>
      <w:pPr>
        <w:jc w:val="center"/>
        <w:spacing w:after="0" w:line="184" w:lineRule="exact"/>
        <w:tabs>
          <w:tab w:leader="none" w:pos="16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63" w:lineRule="exact"/>
        <w:rPr>
          <w:sz w:val="24"/>
          <w:szCs w:val="24"/>
          <w:color w:val="auto"/>
        </w:rPr>
      </w:pPr>
    </w:p>
    <w:p>
      <w:pPr>
        <w:jc w:val="both"/>
        <w:ind w:firstLine="562"/>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4"/>
          <w:szCs w:val="24"/>
          <w:color w:val="auto"/>
        </w:rPr>
      </w:pPr>
    </w:p>
    <w:p>
      <w:pPr>
        <w:jc w:val="center"/>
        <w:spacing w:after="0" w:line="184" w:lineRule="exact"/>
        <w:tabs>
          <w:tab w:leader="none" w:pos="16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63" w:lineRule="exact"/>
        <w:rPr>
          <w:sz w:val="24"/>
          <w:szCs w:val="24"/>
          <w:color w:val="auto"/>
        </w:rPr>
      </w:pPr>
    </w:p>
    <w:p>
      <w:pPr>
        <w:jc w:val="both"/>
        <w:ind w:firstLine="56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8" w:lineRule="exact"/>
        <w:rPr>
          <w:sz w:val="24"/>
          <w:szCs w:val="24"/>
          <w:color w:val="auto"/>
        </w:rPr>
      </w:pPr>
    </w:p>
    <w:p>
      <w:pPr>
        <w:ind w:left="60" w:right="780"/>
        <w:spacing w:after="0" w:line="300"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Non-accelerated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7"/>
          <w:szCs w:val="17"/>
          <w:color w:val="auto"/>
        </w:rPr>
        <w:t>☐</w:t>
      </w:r>
    </w:p>
    <w:p>
      <w:pPr>
        <w:spacing w:after="0" w:line="380" w:lineRule="exact"/>
        <w:rPr>
          <w:sz w:val="24"/>
          <w:szCs w:val="24"/>
          <w:color w:val="auto"/>
        </w:rPr>
      </w:pPr>
    </w:p>
    <w:p>
      <w:pPr>
        <w:ind w:firstLine="562"/>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91" w:lineRule="exact"/>
        <w:rPr>
          <w:sz w:val="24"/>
          <w:szCs w:val="24"/>
          <w:color w:val="auto"/>
        </w:rPr>
      </w:pPr>
    </w:p>
    <w:p>
      <w:pPr>
        <w:ind w:left="5120"/>
        <w:spacing w:after="0" w:line="184" w:lineRule="exact"/>
        <w:tabs>
          <w:tab w:leader="none" w:pos="57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6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The number of shares outstanding of the registrant's common stock, par value $0.50, as of May 5, 2026 was 293,695,832.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4"/>
        </w:trPr>
        <w:tc>
          <w:tcPr>
            <w:tcW w:w="1066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74"/>
        </w:trPr>
        <w:tc>
          <w:tcPr>
            <w:tcW w:w="62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25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16"/>
        </w:trPr>
        <w:tc>
          <w:tcPr>
            <w:tcW w:w="106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74"/>
        </w:trPr>
        <w:tc>
          <w:tcPr>
            <w:tcW w:w="62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16"/>
        </w:trPr>
        <w:tc>
          <w:tcPr>
            <w:tcW w:w="620" w:type="dxa"/>
            <w:vAlign w:val="bottom"/>
            <w:shd w:val="clear" w:color="auto" w:fill="CCEEFF"/>
          </w:tcPr>
          <w:p>
            <w:pPr>
              <w:spacing w:after="0"/>
              <w:rPr>
                <w:sz w:val="18"/>
                <w:szCs w:val="18"/>
                <w:color w:val="auto"/>
              </w:rPr>
            </w:pPr>
          </w:p>
        </w:tc>
        <w:tc>
          <w:tcPr>
            <w:tcW w:w="100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 as of March 31, 2026 and December 31, 2025</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r>
      <w:tr>
        <w:trPr>
          <w:trHeight w:val="216"/>
        </w:trPr>
        <w:tc>
          <w:tcPr>
            <w:tcW w:w="620" w:type="dxa"/>
            <w:vAlign w:val="bottom"/>
          </w:tcPr>
          <w:p>
            <w:pPr>
              <w:spacing w:after="0"/>
              <w:rPr>
                <w:sz w:val="18"/>
                <w:szCs w:val="18"/>
                <w:color w:val="auto"/>
              </w:rPr>
            </w:pPr>
          </w:p>
        </w:tc>
        <w:tc>
          <w:tcPr>
            <w:tcW w:w="100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Consolidated Statements of Operations – for the three months ended March 31, 2026 and 2025</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8"/>
        </w:trPr>
        <w:tc>
          <w:tcPr>
            <w:tcW w:w="6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16"/>
        </w:trPr>
        <w:tc>
          <w:tcPr>
            <w:tcW w:w="620" w:type="dxa"/>
            <w:vAlign w:val="bottom"/>
            <w:shd w:val="clear" w:color="auto" w:fill="CCEEFF"/>
          </w:tcPr>
          <w:p>
            <w:pPr>
              <w:spacing w:after="0"/>
              <w:rPr>
                <w:sz w:val="18"/>
                <w:szCs w:val="18"/>
                <w:color w:val="auto"/>
              </w:rPr>
            </w:pPr>
          </w:p>
        </w:tc>
        <w:tc>
          <w:tcPr>
            <w:tcW w:w="75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Consolidated Statements of Stockholders' Equity – for the three months ended March 31, 2026 and 2025</w:t>
            </w:r>
          </w:p>
        </w:tc>
        <w:tc>
          <w:tcPr>
            <w:tcW w:w="25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r>
      <w:tr>
        <w:trPr>
          <w:trHeight w:val="216"/>
        </w:trPr>
        <w:tc>
          <w:tcPr>
            <w:tcW w:w="620" w:type="dxa"/>
            <w:vAlign w:val="bottom"/>
          </w:tcPr>
          <w:p>
            <w:pPr>
              <w:spacing w:after="0"/>
              <w:rPr>
                <w:sz w:val="18"/>
                <w:szCs w:val="18"/>
                <w:color w:val="auto"/>
              </w:rPr>
            </w:pPr>
          </w:p>
        </w:tc>
        <w:tc>
          <w:tcPr>
            <w:tcW w:w="7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Consolidated Statements of Cash Flows – for the three months ended March 31, 2026 and 2025</w:t>
            </w:r>
          </w:p>
        </w:tc>
        <w:tc>
          <w:tcPr>
            <w:tcW w:w="25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8"/>
        </w:trPr>
        <w:tc>
          <w:tcPr>
            <w:tcW w:w="6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16"/>
        </w:trPr>
        <w:tc>
          <w:tcPr>
            <w:tcW w:w="620" w:type="dxa"/>
            <w:vAlign w:val="bottom"/>
            <w:shd w:val="clear" w:color="auto" w:fill="CCEEFF"/>
          </w:tcPr>
          <w:p>
            <w:pPr>
              <w:spacing w:after="0"/>
              <w:rPr>
                <w:sz w:val="18"/>
                <w:szCs w:val="18"/>
                <w:color w:val="auto"/>
              </w:rPr>
            </w:pPr>
          </w:p>
        </w:tc>
        <w:tc>
          <w:tcPr>
            <w:tcW w:w="31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Notes to Consolidated Financial Statements</w:t>
            </w:r>
          </w:p>
        </w:tc>
        <w:tc>
          <w:tcPr>
            <w:tcW w:w="6880" w:type="dxa"/>
            <w:vAlign w:val="bottom"/>
            <w:gridSpan w:val="8"/>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r>
      <w:tr>
        <w:trPr>
          <w:trHeight w:val="216"/>
        </w:trPr>
        <w:tc>
          <w:tcPr>
            <w:tcW w:w="106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8"/>
        </w:trPr>
        <w:tc>
          <w:tcPr>
            <w:tcW w:w="62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63"/>
        </w:trPr>
        <w:tc>
          <w:tcPr>
            <w:tcW w:w="1066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 Quantitative and Qualitative Disclosure About Market Risk</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8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5820" w:type="dxa"/>
            <w:vAlign w:val="bottom"/>
            <w:tcBorders>
              <w:top w:val="single" w:sz="8" w:color="CCEEFF"/>
            </w:tcBorders>
            <w:gridSpan w:val="7"/>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24</w:t>
            </w:r>
          </w:p>
        </w:tc>
      </w:tr>
      <w:tr>
        <w:trPr>
          <w:trHeight w:val="48"/>
        </w:trPr>
        <w:tc>
          <w:tcPr>
            <w:tcW w:w="62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63"/>
        </w:trPr>
        <w:tc>
          <w:tcPr>
            <w:tcW w:w="2220" w:type="dxa"/>
            <w:vAlign w:val="bottom"/>
            <w:tcBorders>
              <w:bottom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PART II. Other Information</w:t>
            </w:r>
          </w:p>
        </w:tc>
        <w:tc>
          <w:tcPr>
            <w:tcW w:w="8440" w:type="dxa"/>
            <w:vAlign w:val="bottom"/>
            <w:tcBorders>
              <w:bottom w:val="single" w:sz="8" w:color="CCEEFF"/>
            </w:tcBorders>
            <w:gridSpan w:val="13"/>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30"/>
        </w:trPr>
        <w:tc>
          <w:tcPr>
            <w:tcW w:w="106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Item 1. Legal Proceedings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8"/>
        </w:trPr>
        <w:tc>
          <w:tcPr>
            <w:tcW w:w="62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77"/>
        </w:trPr>
        <w:tc>
          <w:tcPr>
            <w:tcW w:w="1600" w:type="dxa"/>
            <w:vAlign w:val="bottom"/>
            <w:tcBorders>
              <w:bottom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Item 1A. Risk Factors</w:t>
            </w:r>
          </w:p>
        </w:tc>
        <w:tc>
          <w:tcPr>
            <w:tcW w:w="9060" w:type="dxa"/>
            <w:vAlign w:val="bottom"/>
            <w:tcBorders>
              <w:bottom w:val="single" w:sz="8" w:color="CCEEFF"/>
            </w:tcBorders>
            <w:gridSpan w:val="16"/>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24</w:t>
            </w:r>
          </w:p>
        </w:tc>
      </w:tr>
      <w:tr>
        <w:trPr>
          <w:trHeight w:val="230"/>
        </w:trPr>
        <w:tc>
          <w:tcPr>
            <w:tcW w:w="106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8"/>
        </w:trPr>
        <w:tc>
          <w:tcPr>
            <w:tcW w:w="62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77"/>
        </w:trPr>
        <w:tc>
          <w:tcPr>
            <w:tcW w:w="1066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28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7820" w:type="dxa"/>
            <w:vAlign w:val="bottom"/>
            <w:tcBorders>
              <w:top w:val="single" w:sz="8" w:color="CCEEFF"/>
            </w:tcBorders>
            <w:gridSpan w:val="10"/>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25</w:t>
            </w:r>
          </w:p>
        </w:tc>
      </w:tr>
      <w:tr>
        <w:trPr>
          <w:trHeight w:val="48"/>
        </w:trPr>
        <w:tc>
          <w:tcPr>
            <w:tcW w:w="62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77"/>
        </w:trPr>
        <w:tc>
          <w:tcPr>
            <w:tcW w:w="188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Item 5. Other Information</w:t>
            </w:r>
          </w:p>
        </w:tc>
        <w:tc>
          <w:tcPr>
            <w:tcW w:w="8780" w:type="dxa"/>
            <w:vAlign w:val="bottom"/>
            <w:tcBorders>
              <w:bottom w:val="single" w:sz="8" w:color="CCEEFF"/>
            </w:tcBorders>
            <w:gridSpan w:val="15"/>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25</w:t>
            </w:r>
          </w:p>
        </w:tc>
      </w:tr>
      <w:tr>
        <w:trPr>
          <w:trHeight w:val="230"/>
        </w:trPr>
        <w:tc>
          <w:tcPr>
            <w:tcW w:w="106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8"/>
        </w:trPr>
        <w:tc>
          <w:tcPr>
            <w:tcW w:w="62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77"/>
        </w:trPr>
        <w:tc>
          <w:tcPr>
            <w:tcW w:w="118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SIGNATURES</w:t>
            </w:r>
          </w:p>
        </w:tc>
        <w:tc>
          <w:tcPr>
            <w:tcW w:w="9480" w:type="dxa"/>
            <w:vAlign w:val="bottom"/>
            <w:tcBorders>
              <w:bottom w:val="single" w:sz="8" w:color="CCEEFF"/>
            </w:tcBorders>
            <w:gridSpan w:val="17"/>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26</w:t>
            </w:r>
          </w:p>
        </w:tc>
      </w:tr>
      <w:tr>
        <w:trPr>
          <w:trHeight w:val="540"/>
        </w:trPr>
        <w:tc>
          <w:tcPr>
            <w:tcW w:w="6060" w:type="dxa"/>
            <w:vAlign w:val="bottom"/>
            <w:gridSpan w:val="15"/>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3"/>
        </w:trPr>
        <w:tc>
          <w:tcPr>
            <w:tcW w:w="6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60" w:type="dxa"/>
            <w:vAlign w:val="bottom"/>
            <w:tcBorders>
              <w:bottom w:val="single" w:sz="8" w:color="auto"/>
            </w:tcBorders>
          </w:tcPr>
          <w:p>
            <w:pPr>
              <w:spacing w:after="0"/>
              <w:rPr>
                <w:sz w:val="18"/>
                <w:szCs w:val="18"/>
                <w:color w:val="auto"/>
              </w:rPr>
            </w:pPr>
          </w:p>
        </w:tc>
      </w:tr>
      <w:tr>
        <w:trPr>
          <w:trHeight w:val="183"/>
        </w:trPr>
        <w:tc>
          <w:tcPr>
            <w:tcW w:w="7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5"/>
        </w:trPr>
        <w:tc>
          <w:tcPr>
            <w:tcW w:w="7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83"/>
        </w:trPr>
        <w:tc>
          <w:tcPr>
            <w:tcW w:w="7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5"/>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right"/>
              <w:ind w:right="831"/>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05"/>
        </w:trPr>
        <w:tc>
          <w:tcPr>
            <w:tcW w:w="7440" w:type="dxa"/>
            <w:vAlign w:val="bottom"/>
            <w:shd w:val="clear" w:color="auto" w:fill="CFF0FC"/>
          </w:tcPr>
          <w:p>
            <w:pPr>
              <w:ind w:left="3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23,930</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Natural gas and oil sales and gas services</w:t>
            </w: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126,390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203,549</w:t>
            </w:r>
          </w:p>
        </w:tc>
      </w:tr>
      <w:tr>
        <w:trPr>
          <w:trHeight w:val="216"/>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Joint interest operations</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40,375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35,400</w:t>
            </w:r>
          </w:p>
        </w:tc>
      </w:tr>
      <w:tr>
        <w:trPr>
          <w:trHeight w:val="216"/>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affiliates</w:t>
            </w: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3,596</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50,178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19,206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56,050</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75,257</w:t>
            </w:r>
          </w:p>
        </w:tc>
      </w:tr>
      <w:tr>
        <w:trPr>
          <w:trHeight w:val="209"/>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290,064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360,938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Natural gas and oil properties, successful efforts method:</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Proved</w:t>
            </w: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9,333,762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8,984,969</w:t>
            </w:r>
          </w:p>
        </w:tc>
      </w:tr>
      <w:tr>
        <w:trPr>
          <w:trHeight w:val="216"/>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Unproved</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404,623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391,065</w:t>
            </w:r>
          </w:p>
        </w:tc>
      </w:tr>
      <w:tr>
        <w:trPr>
          <w:trHeight w:val="216"/>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441,408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386,656</w:t>
            </w:r>
          </w:p>
        </w:tc>
      </w:tr>
      <w:tr>
        <w:trPr>
          <w:trHeight w:val="216"/>
        </w:trPr>
        <w:tc>
          <w:tcPr>
            <w:tcW w:w="7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depreciation, depletion and amortization</w:t>
            </w: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(3,688,228)</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(3,547,196)</w:t>
            </w:r>
          </w:p>
        </w:tc>
      </w:tr>
      <w:tr>
        <w:trPr>
          <w:trHeight w:val="209"/>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6,491,565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6,215,494</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335,897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335,897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83,112</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94,733</w:t>
            </w:r>
          </w:p>
        </w:tc>
      </w:tr>
      <w:tr>
        <w:trPr>
          <w:trHeight w:val="210"/>
        </w:trPr>
        <w:tc>
          <w:tcPr>
            <w:tcW w:w="7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7,239,696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7,007,062</w:t>
            </w: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744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552,967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501,695</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costs</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100,810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153,248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46,937</w:t>
            </w:r>
          </w:p>
        </w:tc>
      </w:tr>
      <w:tr>
        <w:trPr>
          <w:trHeight w:val="216"/>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14,882</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27,636</w:t>
            </w:r>
          </w:p>
        </w:tc>
      </w:tr>
      <w:tr>
        <w:trPr>
          <w:trHeight w:val="210"/>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711,922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729,516</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2,947,607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2,809,066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449,088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437,098</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operating leases</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39,538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47,692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Reserve for future abandonment costs</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21,125</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20,787</w:t>
            </w:r>
          </w:p>
        </w:tc>
      </w:tr>
      <w:tr>
        <w:trPr>
          <w:trHeight w:val="210"/>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4,169,280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4,044,159</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198"/>
        </w:trPr>
        <w:tc>
          <w:tcPr>
            <w:tcW w:w="74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stock—$0.50 par, 400,000,000 shares authorized, 293,695,832</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293,054,806 shares issued and outstanding at March 31, 2026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10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146,848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146,527</w:t>
            </w:r>
          </w:p>
        </w:tc>
      </w:tr>
      <w:tr>
        <w:trPr>
          <w:trHeight w:val="216"/>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1,378,963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1,376,053</w:t>
            </w:r>
          </w:p>
        </w:tc>
      </w:tr>
      <w:tr>
        <w:trPr>
          <w:trHeight w:val="216"/>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earnings</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1,231,680</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1,124,230</w:t>
            </w:r>
          </w:p>
        </w:tc>
      </w:tr>
      <w:tr>
        <w:trPr>
          <w:trHeight w:val="210"/>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stockholders' equity attributable to the Company</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2,757,491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2,646,810</w:t>
            </w:r>
          </w:p>
        </w:tc>
      </w:tr>
      <w:tr>
        <w:trPr>
          <w:trHeight w:val="216"/>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312,925</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316,093</w:t>
            </w:r>
          </w:p>
        </w:tc>
      </w:tr>
      <w:tr>
        <w:trPr>
          <w:trHeight w:val="210"/>
        </w:trPr>
        <w:tc>
          <w:tcPr>
            <w:tcW w:w="74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3,070,416</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2,962,903</w:t>
            </w:r>
          </w:p>
        </w:tc>
      </w:tr>
      <w:tr>
        <w:trPr>
          <w:trHeight w:val="209"/>
        </w:trPr>
        <w:tc>
          <w:tcPr>
            <w:tcW w:w="7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7,239,696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7,007,062</w:t>
            </w: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-3950970</wp:posOffset>
            </wp:positionV>
            <wp:extent cx="120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-3394075</wp:posOffset>
            </wp:positionV>
            <wp:extent cx="120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-2399665</wp:posOffset>
            </wp:positionV>
            <wp:extent cx="120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-170815</wp:posOffset>
            </wp:positionV>
            <wp:extent cx="120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157" w:right="899" w:bottom="1440" w:gutter="0" w:footer="0" w:header="0"/>
        </w:sectPr>
      </w:pPr>
    </w:p>
    <w:bookmarkStart w:id="4" w:name="page5"/>
    <w:bookmarkEnd w:id="4"/>
    <w:p>
      <w:pPr>
        <w:ind w:left="3160"/>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5"/>
        </w:trPr>
        <w:tc>
          <w:tcPr>
            <w:tcW w:w="4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199"/>
        </w:trPr>
        <w:tc>
          <w:tcPr>
            <w:tcW w:w="4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49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w w:val="96"/>
              </w:rPr>
              <w:t>(In thousands, except</w:t>
            </w:r>
          </w:p>
        </w:tc>
        <w:tc>
          <w:tcPr>
            <w:tcW w:w="154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i w:val="1"/>
                <w:iCs w:val="1"/>
                <w:color w:val="auto"/>
              </w:rPr>
              <w:t>per share amounts)</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4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Natural gas sales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418,275</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412,286</w:t>
            </w:r>
          </w:p>
        </w:tc>
      </w:tr>
      <w:tr>
        <w:trPr>
          <w:trHeight w:val="216"/>
        </w:trPr>
        <w:tc>
          <w:tcPr>
            <w:tcW w:w="49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Oil sales</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758</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702</w:t>
            </w:r>
          </w:p>
        </w:tc>
      </w:tr>
      <w:tr>
        <w:trPr>
          <w:trHeight w:val="20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natural gas and oil sales</w:t>
            </w:r>
          </w:p>
        </w:tc>
        <w:tc>
          <w:tcPr>
            <w:tcW w:w="2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419,033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412,988</w:t>
            </w:r>
          </w:p>
        </w:tc>
      </w:tr>
      <w:tr>
        <w:trPr>
          <w:trHeight w:val="216"/>
        </w:trPr>
        <w:tc>
          <w:tcPr>
            <w:tcW w:w="4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Gas services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166,501</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99,866</w:t>
            </w:r>
          </w:p>
        </w:tc>
      </w:tr>
      <w:tr>
        <w:trPr>
          <w:trHeight w:val="216"/>
        </w:trPr>
        <w:tc>
          <w:tcPr>
            <w:tcW w:w="4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on sale of assets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revenues and other operating income</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587,354</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512,854</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10,425</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11,179</w:t>
            </w:r>
          </w:p>
        </w:tc>
      </w:tr>
      <w:tr>
        <w:trPr>
          <w:trHeight w:val="216"/>
        </w:trPr>
        <w:tc>
          <w:tcPr>
            <w:tcW w:w="4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Gathering and transportation</w:t>
            </w:r>
          </w:p>
        </w:tc>
        <w:tc>
          <w:tcPr>
            <w:tcW w:w="2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41,804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42,617</w:t>
            </w:r>
          </w:p>
        </w:tc>
      </w:tr>
      <w:tr>
        <w:trPr>
          <w:trHeight w:val="216"/>
        </w:trPr>
        <w:tc>
          <w:tcPr>
            <w:tcW w:w="4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Lease operating</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28,281</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4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Exploration</w:t>
            </w:r>
          </w:p>
        </w:tc>
        <w:tc>
          <w:tcPr>
            <w:tcW w:w="2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9,343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2,150</w:t>
            </w:r>
          </w:p>
        </w:tc>
      </w:tr>
      <w:tr>
        <w:trPr>
          <w:trHeight w:val="216"/>
        </w:trPr>
        <w:tc>
          <w:tcPr>
            <w:tcW w:w="4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141,532</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167,891</w:t>
            </w:r>
          </w:p>
        </w:tc>
      </w:tr>
      <w:tr>
        <w:trPr>
          <w:trHeight w:val="216"/>
        </w:trPr>
        <w:tc>
          <w:tcPr>
            <w:tcW w:w="4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Gas services</w:t>
            </w:r>
          </w:p>
        </w:tc>
        <w:tc>
          <w:tcPr>
            <w:tcW w:w="2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162,856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116,769</w:t>
            </w:r>
          </w:p>
        </w:tc>
      </w:tr>
      <w:tr>
        <w:trPr>
          <w:trHeight w:val="216"/>
        </w:trPr>
        <w:tc>
          <w:tcPr>
            <w:tcW w:w="49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18,222</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11,080</w:t>
            </w:r>
          </w:p>
        </w:tc>
      </w:tr>
      <w:tr>
        <w:trPr>
          <w:trHeight w:val="210"/>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412,463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386,686</w:t>
            </w: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174,891</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126,168</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 (loss) from derivative financial instruments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2,396</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(330,339)</w:t>
            </w:r>
          </w:p>
        </w:tc>
      </w:tr>
      <w:tr>
        <w:trPr>
          <w:trHeight w:val="216"/>
        </w:trPr>
        <w:tc>
          <w:tcPr>
            <w:tcW w:w="4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49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(53,061)</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(54,837)</w:t>
            </w:r>
          </w:p>
        </w:tc>
      </w:tr>
      <w:tr>
        <w:trPr>
          <w:trHeight w:val="210"/>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expenses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(384,837)</w:t>
            </w: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124,489</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(258,669)</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143,276</w:t>
            </w: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112,499</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(115,393)</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w:t>
            </w:r>
          </w:p>
        </w:tc>
      </w:tr>
      <w:tr>
        <w:trPr>
          <w:trHeight w:val="25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available to the Company</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107,450</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(121,278)</w:t>
            </w:r>
          </w:p>
        </w:tc>
      </w:tr>
      <w:tr>
        <w:trPr>
          <w:trHeight w:val="413"/>
        </w:trPr>
        <w:tc>
          <w:tcPr>
            <w:tcW w:w="4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36"/>
        </w:trPr>
        <w:tc>
          <w:tcPr>
            <w:tcW w:w="4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0.38</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4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5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(0.40)</w:t>
            </w:r>
          </w:p>
        </w:tc>
      </w:tr>
      <w:tr>
        <w:trPr>
          <w:trHeight w:val="20"/>
        </w:trPr>
        <w:tc>
          <w:tcPr>
            <w:tcW w:w="4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16"/>
        </w:trPr>
        <w:tc>
          <w:tcPr>
            <w:tcW w:w="4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291,317</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290,303</w:t>
            </w:r>
          </w:p>
        </w:tc>
      </w:tr>
      <w:tr>
        <w:trPr>
          <w:trHeight w:val="20"/>
        </w:trPr>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6"/>
        </w:trPr>
        <w:tc>
          <w:tcPr>
            <w:tcW w:w="4980" w:type="dxa"/>
            <w:vAlign w:val="bottom"/>
            <w:tcBorders>
              <w:bottom w:val="single" w:sz="8" w:color="CFF0FC"/>
            </w:tcBorders>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291,317</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290,303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-4448175</wp:posOffset>
            </wp:positionV>
            <wp:extent cx="1289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-2785745</wp:posOffset>
            </wp:positionV>
            <wp:extent cx="1289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-1945640</wp:posOffset>
            </wp:positionV>
            <wp:extent cx="1289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-1088390</wp:posOffset>
            </wp:positionV>
            <wp:extent cx="1289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-1071245</wp:posOffset>
            </wp:positionV>
            <wp:extent cx="1289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-650875</wp:posOffset>
            </wp:positionV>
            <wp:extent cx="1289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-633730</wp:posOffset>
            </wp:positionV>
            <wp:extent cx="1289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1289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1289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5" w:name="page6"/>
    <w:bookmarkEnd w:id="5"/>
    <w:p>
      <w:pPr>
        <w:ind w:left="4280"/>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18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10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281"/>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1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i w:val="1"/>
                <w:iCs w:val="1"/>
                <w:color w:val="auto"/>
              </w:rPr>
              <w:t>(In</w:t>
            </w:r>
          </w:p>
        </w:tc>
        <w:tc>
          <w:tcPr>
            <w:tcW w:w="132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i w:val="1"/>
                <w:iCs w:val="1"/>
                <w:color w:val="auto"/>
                <w:w w:val="88"/>
              </w:rPr>
              <w:t>thousands)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1, 2025</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292,261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146,130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1,366,274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728,619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92,521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2,333,544</w:t>
            </w:r>
          </w:p>
        </w:tc>
        <w:tc>
          <w:tcPr>
            <w:tcW w:w="0" w:type="dxa"/>
            <w:vAlign w:val="bottom"/>
          </w:tcPr>
          <w:p>
            <w:pPr>
              <w:spacing w:after="0"/>
              <w:rPr>
                <w:sz w:val="1"/>
                <w:szCs w:val="1"/>
                <w:color w:val="auto"/>
              </w:rPr>
            </w:pPr>
          </w:p>
        </w:tc>
      </w:tr>
      <w:tr>
        <w:trPr>
          <w:trHeight w:val="203"/>
        </w:trPr>
        <w:tc>
          <w:tcPr>
            <w:tcW w:w="3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1,752</w:t>
            </w:r>
          </w:p>
        </w:tc>
        <w:tc>
          <w:tcPr>
            <w:tcW w:w="0" w:type="dxa"/>
            <w:vAlign w:val="bottom"/>
          </w:tcPr>
          <w:p>
            <w:pPr>
              <w:spacing w:after="0"/>
              <w:rPr>
                <w:sz w:val="1"/>
                <w:szCs w:val="1"/>
                <w:color w:val="auto"/>
              </w:rPr>
            </w:pPr>
          </w:p>
        </w:tc>
      </w:tr>
      <w:tr>
        <w:trPr>
          <w:trHeight w:val="203"/>
        </w:trPr>
        <w:tc>
          <w:tcPr>
            <w:tcW w:w="3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income (loss)</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(121,278)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5,885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(115,393)</w:t>
            </w:r>
          </w:p>
        </w:tc>
        <w:tc>
          <w:tcPr>
            <w:tcW w:w="0" w:type="dxa"/>
            <w:vAlign w:val="bottom"/>
          </w:tcPr>
          <w:p>
            <w:pPr>
              <w:spacing w:after="0"/>
              <w:rPr>
                <w:sz w:val="1"/>
                <w:szCs w:val="1"/>
                <w:color w:val="auto"/>
              </w:rPr>
            </w:pPr>
          </w:p>
        </w:tc>
      </w:tr>
      <w:tr>
        <w:trPr>
          <w:trHeight w:val="203"/>
        </w:trPr>
        <w:tc>
          <w:tcPr>
            <w:tcW w:w="3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Contributions from noncontrolling interest</w:t>
            </w: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59,500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59,500</w:t>
            </w:r>
          </w:p>
        </w:tc>
        <w:tc>
          <w:tcPr>
            <w:tcW w:w="0" w:type="dxa"/>
            <w:vAlign w:val="bottom"/>
          </w:tcPr>
          <w:p>
            <w:pPr>
              <w:spacing w:after="0"/>
              <w:rPr>
                <w:sz w:val="1"/>
                <w:szCs w:val="1"/>
                <w:color w:val="auto"/>
              </w:rPr>
            </w:pPr>
          </w:p>
        </w:tc>
      </w:tr>
      <w:tr>
        <w:trPr>
          <w:trHeight w:val="202"/>
        </w:trPr>
        <w:tc>
          <w:tcPr>
            <w:tcW w:w="39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11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292,919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146,460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1,367,696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607,341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155,687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2,277,184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1, 2026</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293,055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146,527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1,376,053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1,124,230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316,093</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2,962,903</w:t>
            </w:r>
          </w:p>
        </w:tc>
        <w:tc>
          <w:tcPr>
            <w:tcW w:w="0" w:type="dxa"/>
            <w:vAlign w:val="bottom"/>
          </w:tcPr>
          <w:p>
            <w:pPr>
              <w:spacing w:after="0"/>
              <w:rPr>
                <w:sz w:val="1"/>
                <w:szCs w:val="1"/>
                <w:color w:val="auto"/>
              </w:rPr>
            </w:pPr>
          </w:p>
        </w:tc>
      </w:tr>
      <w:tr>
        <w:trPr>
          <w:trHeight w:val="203"/>
        </w:trPr>
        <w:tc>
          <w:tcPr>
            <w:tcW w:w="3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3,231</w:t>
            </w:r>
          </w:p>
        </w:tc>
        <w:tc>
          <w:tcPr>
            <w:tcW w:w="0" w:type="dxa"/>
            <w:vAlign w:val="bottom"/>
          </w:tcPr>
          <w:p>
            <w:pPr>
              <w:spacing w:after="0"/>
              <w:rPr>
                <w:sz w:val="1"/>
                <w:szCs w:val="1"/>
                <w:color w:val="auto"/>
              </w:rPr>
            </w:pPr>
          </w:p>
        </w:tc>
      </w:tr>
      <w:tr>
        <w:trPr>
          <w:trHeight w:val="203"/>
        </w:trPr>
        <w:tc>
          <w:tcPr>
            <w:tcW w:w="3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107,450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5,049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112,499</w:t>
            </w:r>
          </w:p>
        </w:tc>
        <w:tc>
          <w:tcPr>
            <w:tcW w:w="0" w:type="dxa"/>
            <w:vAlign w:val="bottom"/>
          </w:tcPr>
          <w:p>
            <w:pPr>
              <w:spacing w:after="0"/>
              <w:rPr>
                <w:sz w:val="1"/>
                <w:szCs w:val="1"/>
                <w:color w:val="auto"/>
              </w:rPr>
            </w:pPr>
          </w:p>
        </w:tc>
      </w:tr>
      <w:tr>
        <w:trPr>
          <w:trHeight w:val="203"/>
        </w:trPr>
        <w:tc>
          <w:tcPr>
            <w:tcW w:w="3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(8,217)</w:t>
            </w: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293,696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146,848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1,378,963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1,231,680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312,925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3,070,416</w:t>
            </w: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-968375</wp:posOffset>
            </wp:positionV>
            <wp:extent cx="76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-968375</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-968375</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-968375</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-968375</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-25400</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-7620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-25400</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3160"/>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18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4"/>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5"/>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39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196"/>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3"/>
          </w:tcPr>
          <w:p>
            <w:pPr>
              <w:jc w:val="center"/>
              <w:ind w:left="371"/>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112,499</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(115,393)</w:t>
            </w:r>
          </w:p>
        </w:tc>
      </w:tr>
      <w:tr>
        <w:trPr>
          <w:trHeight w:val="198"/>
        </w:trPr>
        <w:tc>
          <w:tcPr>
            <w:tcW w:w="20" w:type="dxa"/>
            <w:vAlign w:val="bottom"/>
          </w:tcPr>
          <w:p>
            <w:pPr>
              <w:spacing w:after="0"/>
              <w:rPr>
                <w:sz w:val="17"/>
                <w:szCs w:val="17"/>
                <w:color w:val="auto"/>
              </w:rPr>
            </w:pPr>
          </w:p>
        </w:tc>
        <w:tc>
          <w:tcPr>
            <w:tcW w:w="650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11,990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(143,276)</w:t>
            </w: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sale of assets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141,532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167,891</w:t>
            </w: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loss on derivative financial instruments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330,339</w:t>
            </w: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settlements of derivative financial instruments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w:t>
            </w: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3,037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2,944</w:t>
            </w: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7,444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4,442</w:t>
            </w: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73,494</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(33,660)</w:t>
            </w: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other current assets</w:t>
            </w:r>
          </w:p>
        </w:tc>
        <w:tc>
          <w:tcPr>
            <w:tcW w:w="2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9,199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20" w:type="dxa"/>
            <w:vAlign w:val="bottom"/>
          </w:tcPr>
          <w:p>
            <w:pPr>
              <w:spacing w:after="0"/>
              <w:rPr>
                <w:sz w:val="18"/>
                <w:szCs w:val="18"/>
                <w:color w:val="auto"/>
              </w:rPr>
            </w:pPr>
          </w:p>
        </w:tc>
        <w:tc>
          <w:tcPr>
            <w:tcW w:w="6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Decrease in accounts payable and accrued expenses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(31,141)</w:t>
            </w:r>
          </w:p>
        </w:tc>
      </w:tr>
      <w:tr>
        <w:trPr>
          <w:trHeight w:val="209"/>
        </w:trPr>
        <w:tc>
          <w:tcPr>
            <w:tcW w:w="20" w:type="dxa"/>
            <w:vAlign w:val="bottom"/>
          </w:tcPr>
          <w:p>
            <w:pPr>
              <w:spacing w:after="0"/>
              <w:rPr>
                <w:sz w:val="18"/>
                <w:szCs w:val="18"/>
                <w:color w:val="auto"/>
              </w:rPr>
            </w:pPr>
          </w:p>
        </w:tc>
        <w:tc>
          <w:tcPr>
            <w:tcW w:w="6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271,965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174,746</w:t>
            </w:r>
          </w:p>
        </w:tc>
      </w:tr>
      <w:tr>
        <w:trPr>
          <w:trHeight w:val="210"/>
        </w:trPr>
        <w:tc>
          <w:tcPr>
            <w:tcW w:w="20" w:type="dxa"/>
            <w:vAlign w:val="bottom"/>
          </w:tcPr>
          <w:p>
            <w:pPr>
              <w:spacing w:after="0"/>
              <w:rPr>
                <w:sz w:val="18"/>
                <w:szCs w:val="18"/>
                <w:color w:val="auto"/>
              </w:rPr>
            </w:pPr>
          </w:p>
        </w:tc>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 and acquisitions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(415,812)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(297,992)</w:t>
            </w: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drilling costs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10,864</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1,820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(403,128)</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(298,261)</w:t>
            </w: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 on bank credit facilities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387,000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205,000</w:t>
            </w: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Repayments of bank credit facilities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and stock issuance costs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withholdings on equity awards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Contributions from noncontrolling interest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59,500</w:t>
            </w: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09"/>
        </w:trPr>
        <w:tc>
          <w:tcPr>
            <w:tcW w:w="20" w:type="dxa"/>
            <w:vAlign w:val="bottom"/>
          </w:tcPr>
          <w:p>
            <w:pPr>
              <w:spacing w:after="0"/>
              <w:rPr>
                <w:sz w:val="18"/>
                <w:szCs w:val="18"/>
                <w:color w:val="auto"/>
              </w:rPr>
            </w:pPr>
          </w:p>
        </w:tc>
        <w:tc>
          <w:tcPr>
            <w:tcW w:w="65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122,018</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149,591</w:t>
            </w:r>
          </w:p>
        </w:tc>
      </w:tr>
      <w:tr>
        <w:trPr>
          <w:trHeight w:val="210"/>
        </w:trPr>
        <w:tc>
          <w:tcPr>
            <w:tcW w:w="20" w:type="dxa"/>
            <w:vAlign w:val="bottom"/>
          </w:tcPr>
          <w:p>
            <w:pPr>
              <w:spacing w:after="0"/>
              <w:rPr>
                <w:sz w:val="18"/>
                <w:szCs w:val="18"/>
                <w:color w:val="auto"/>
              </w:rPr>
            </w:pPr>
          </w:p>
        </w:tc>
        <w:tc>
          <w:tcPr>
            <w:tcW w:w="6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26,076</w:t>
            </w:r>
          </w:p>
        </w:tc>
      </w:tr>
      <w:tr>
        <w:trPr>
          <w:trHeight w:val="216"/>
        </w:trPr>
        <w:tc>
          <w:tcPr>
            <w:tcW w:w="20" w:type="dxa"/>
            <w:vAlign w:val="bottom"/>
          </w:tcPr>
          <w:p>
            <w:pPr>
              <w:spacing w:after="0"/>
              <w:rPr>
                <w:sz w:val="18"/>
                <w:szCs w:val="18"/>
                <w:color w:val="auto"/>
              </w:rPr>
            </w:pPr>
          </w:p>
        </w:tc>
        <w:tc>
          <w:tcPr>
            <w:tcW w:w="65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23,930</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6,799</w:t>
            </w:r>
          </w:p>
        </w:tc>
      </w:tr>
      <w:tr>
        <w:trPr>
          <w:trHeight w:val="209"/>
        </w:trPr>
        <w:tc>
          <w:tcPr>
            <w:tcW w:w="20" w:type="dxa"/>
            <w:vAlign w:val="bottom"/>
          </w:tcPr>
          <w:p>
            <w:pPr>
              <w:spacing w:after="0"/>
              <w:rPr>
                <w:sz w:val="18"/>
                <w:szCs w:val="18"/>
                <w:color w:val="auto"/>
              </w:rPr>
            </w:pPr>
          </w:p>
        </w:tc>
        <w:tc>
          <w:tcPr>
            <w:tcW w:w="6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14,785</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32,875</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-2416810</wp:posOffset>
            </wp:positionV>
            <wp:extent cx="120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-1567815</wp:posOffset>
            </wp:positionV>
            <wp:extent cx="120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-454025</wp:posOffset>
            </wp:positionV>
            <wp:extent cx="120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-170815</wp:posOffset>
            </wp:positionV>
            <wp:extent cx="120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8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These unaudited consolidated financial statements include the accounts of Comstock Resources, Inc. and its wholly-owned subsidiaries (collectively, "Comstock" or the "Company"). In management's opinion, the accompanying unaudited consolidated financial statements contain all adjustments necessary to present fairly the financial position of Comstock as of March 31, 2026, and the related results of operations and cash flows for the periods being presented. Net income (loss) and comprehensive income (loss) are the same in all periods presented. All adjustments are of a normal recurring nature unless otherwise disclosed.</w:t>
      </w:r>
    </w:p>
    <w:p>
      <w:pPr>
        <w:spacing w:after="0" w:line="15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Certain information and disclosures normally included in annual financial statements prepared in accordance with accounting principles generally accepted in the United States have been omitted pursuant to those rules and regulations, although Comstock believes that the disclosures made are adequate to make the information presented not misleading. These unaudited consolidated financial statements should be read in conjunction with the financial statements and notes thereto included in Comstock's Annual Report on Form 10-K for the year ended December 31, 2025. The results of operations for the period through March 31, 2026 are not necessarily an indication of the results expected for the full year.</w:t>
      </w:r>
    </w:p>
    <w:p>
      <w:pPr>
        <w:spacing w:after="0" w:line="14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Pinnacle Gas Services ("PGS") is a joint venture entity formed by the Company and an affiliate of Quantum Capital Solutions, Cactus Midstream (II), LLC ("Cactus"). PGS provides gathering and treating services for natural gas production in the Company's Western Haynesville area. Comstock directs the activities that most significantly impact the performance of PGS and has the obligation to absorb losses or right to receive benefits that could potentially be significant to PGS. Accordingly, Comstock is considered the primary beneficiary and consolidates the assets, liabilities and results of operations of PGS in the accompanying consolidated financial statements. PGS assets that cannot be used by Comstock for general corporate purposes include $412.5 million and $358.9 million of net other property and equipment as of March 31, 2026 and December 31, 2025, respectively. Liabilities for which creditors do not have recourse to Comstock's assets include $47 million of borrowings under PGS's bank credit facility. Other PGS assets that cannot be used by Comstock and PGS liabilities for which creditors do not have recourse to Comstock's assets are not material to the Company's consolidated financial statements. The portions of PGS net income and stockholders' equity not attributable to Comstock's controlling interest are shown separately as noncontrolling interests in the accompanying consolidated statements of operations and statements of stockholders' equity. In January 2026, PGS entered into an agreement with Cactus under which PGS agreed to redeem all of the outstanding Class B Units of PGS in exchange for cash consideration of $440 million plus any accrued but unpaid distributions. The redemption is expected to be completed during the second quarter of 2026.</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current assets at March 31, 2026 and December 31, 2025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81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4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186"/>
        </w:trPr>
        <w:tc>
          <w:tcPr>
            <w:tcW w:w="14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0" w:type="dxa"/>
            <w:vAlign w:val="bottom"/>
          </w:tcPr>
          <w:p>
            <w:pPr>
              <w:spacing w:after="0"/>
              <w:rPr>
                <w:sz w:val="16"/>
                <w:szCs w:val="16"/>
                <w:color w:val="auto"/>
              </w:rPr>
            </w:pPr>
          </w:p>
        </w:tc>
      </w:tr>
      <w:tr>
        <w:trPr>
          <w:trHeight w:val="215"/>
        </w:trPr>
        <w:tc>
          <w:tcPr>
            <w:tcW w:w="14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0" w:type="dxa"/>
            <w:vAlign w:val="bottom"/>
          </w:tcPr>
          <w:p>
            <w:pPr>
              <w:spacing w:after="0"/>
              <w:rPr>
                <w:sz w:val="18"/>
                <w:szCs w:val="18"/>
                <w:color w:val="auto"/>
              </w:rPr>
            </w:pPr>
          </w:p>
        </w:tc>
      </w:tr>
      <w:tr>
        <w:trPr>
          <w:trHeight w:val="199"/>
        </w:trPr>
        <w:tc>
          <w:tcPr>
            <w:tcW w:w="14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40" w:type="dxa"/>
            <w:vAlign w:val="bottom"/>
            <w:gridSpan w:val="5"/>
          </w:tcPr>
          <w:p>
            <w:pPr>
              <w:jc w:val="center"/>
              <w:ind w:right="1660"/>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16"/>
        </w:trPr>
        <w:tc>
          <w:tcPr>
            <w:tcW w:w="142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drilling costs</w:t>
            </w:r>
          </w:p>
        </w:tc>
        <w:tc>
          <w:tcPr>
            <w:tcW w:w="2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42,270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53,134</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2,968</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 tax refunds receivable</w:t>
            </w:r>
          </w:p>
        </w:tc>
        <w:tc>
          <w:tcPr>
            <w:tcW w:w="2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3,526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5,827</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9,929</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3,024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3,024</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375</w:t>
            </w:r>
          </w:p>
        </w:tc>
        <w:tc>
          <w:tcPr>
            <w:tcW w:w="1400" w:type="dxa"/>
            <w:vAlign w:val="bottom"/>
          </w:tcPr>
          <w:p>
            <w:pPr>
              <w:spacing w:after="0"/>
              <w:rPr>
                <w:sz w:val="18"/>
                <w:szCs w:val="18"/>
                <w:color w:val="auto"/>
              </w:rPr>
            </w:pPr>
          </w:p>
        </w:tc>
      </w:tr>
      <w:tr>
        <w:trPr>
          <w:trHeight w:val="249"/>
        </w:trPr>
        <w:tc>
          <w:tcPr>
            <w:tcW w:w="1420" w:type="dxa"/>
            <w:vAlign w:val="bottom"/>
          </w:tcPr>
          <w:p>
            <w:pPr>
              <w:spacing w:after="0"/>
              <w:rPr>
                <w:sz w:val="21"/>
                <w:szCs w:val="21"/>
                <w:color w:val="auto"/>
              </w:rPr>
            </w:pPr>
          </w:p>
        </w:tc>
        <w:tc>
          <w:tcPr>
            <w:tcW w:w="3280" w:type="dxa"/>
            <w:vAlign w:val="bottom"/>
            <w:shd w:val="clear" w:color="auto" w:fill="CFF0FC"/>
          </w:tcPr>
          <w:p>
            <w:pPr>
              <w:spacing w:after="0"/>
              <w:rPr>
                <w:sz w:val="21"/>
                <w:szCs w:val="21"/>
                <w:color w:val="auto"/>
              </w:rPr>
            </w:pPr>
          </w:p>
        </w:tc>
        <w:tc>
          <w:tcPr>
            <w:tcW w:w="2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56,050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75,257</w:t>
            </w:r>
          </w:p>
        </w:tc>
        <w:tc>
          <w:tcPr>
            <w:tcW w:w="1400" w:type="dxa"/>
            <w:vAlign w:val="bottom"/>
          </w:tcPr>
          <w:p>
            <w:pPr>
              <w:spacing w:after="0"/>
              <w:rPr>
                <w:sz w:val="21"/>
                <w:szCs w:val="21"/>
                <w:color w:val="auto"/>
              </w:rPr>
            </w:pPr>
          </w:p>
        </w:tc>
      </w:tr>
      <w:tr>
        <w:trPr>
          <w:trHeight w:val="520"/>
        </w:trPr>
        <w:tc>
          <w:tcPr>
            <w:tcW w:w="1420" w:type="dxa"/>
            <w:vAlign w:val="bottom"/>
          </w:tcPr>
          <w:p>
            <w:pPr>
              <w:spacing w:after="0"/>
              <w:rPr>
                <w:sz w:val="24"/>
                <w:szCs w:val="24"/>
                <w:color w:val="auto"/>
              </w:rPr>
            </w:pPr>
          </w:p>
        </w:tc>
        <w:tc>
          <w:tcPr>
            <w:tcW w:w="3280" w:type="dxa"/>
            <w:vAlign w:val="bottom"/>
            <w:tcBorders>
              <w:top w:val="single" w:sz="8" w:color="CFF0FC"/>
            </w:tcBorders>
          </w:tcPr>
          <w:p>
            <w:pPr>
              <w:spacing w:after="0"/>
              <w:rPr>
                <w:sz w:val="24"/>
                <w:szCs w:val="24"/>
                <w:color w:val="auto"/>
              </w:rPr>
            </w:pPr>
          </w:p>
        </w:tc>
        <w:tc>
          <w:tcPr>
            <w:tcW w:w="2540" w:type="dxa"/>
            <w:vAlign w:val="bottom"/>
            <w:tcBorders>
              <w:top w:val="single" w:sz="8" w:color="CFF0FC"/>
            </w:tcBorders>
          </w:tcPr>
          <w:p>
            <w:pPr>
              <w:jc w:val="right"/>
              <w:ind w:right="149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-864870</wp:posOffset>
            </wp:positionV>
            <wp:extent cx="85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-847725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00" w:lineRule="exact"/>
        <w:rPr>
          <w:sz w:val="20"/>
          <w:szCs w:val="20"/>
          <w:color w:val="auto"/>
        </w:rPr>
      </w:pP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0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 follows the successful efforts method of accounting for its natural gas and oil properties. Costs incurred to acquire natural gas and oil leases and to drill and complete developmental wells are capitalized.</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Exploratory well costs are initially capitalized as proved property in the consolidated balance sheets but charged to exploration expense if and when the well is determined not to have found commercial proved natural gas and oil reserves.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changes in capitalized exploratory well costs are as follows: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4"/>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5"/>
        </w:trPr>
        <w:tc>
          <w:tcPr>
            <w:tcW w:w="7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375"/>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r>
      <w:tr>
        <w:trPr>
          <w:trHeight w:val="199"/>
        </w:trPr>
        <w:tc>
          <w:tcPr>
            <w:tcW w:w="7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196"/>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3"/>
          </w:tcPr>
          <w:p>
            <w:pPr>
              <w:jc w:val="center"/>
              <w:ind w:left="395"/>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00" w:type="dxa"/>
            <w:vAlign w:val="bottom"/>
          </w:tcPr>
          <w:p>
            <w:pPr>
              <w:spacing w:after="0"/>
              <w:rPr>
                <w:sz w:val="17"/>
                <w:szCs w:val="17"/>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capitalized exploratory well costs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210,127</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68,223</w:t>
            </w: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to exploratory well costs pending the determination of proved reserves</w:t>
            </w:r>
          </w:p>
        </w:tc>
        <w:tc>
          <w:tcPr>
            <w:tcW w:w="22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174,775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100,107</w:t>
            </w:r>
          </w:p>
        </w:tc>
      </w:tr>
      <w:tr>
        <w:trPr>
          <w:trHeight w:val="216"/>
        </w:trPr>
        <w:tc>
          <w:tcPr>
            <w:tcW w:w="7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Determined to have found proved reserves</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(152,512)</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Ending capitalized exploratory well costs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232,390</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168,330</w:t>
            </w:r>
          </w:p>
        </w:tc>
      </w:tr>
      <w:tr>
        <w:trPr>
          <w:trHeight w:val="20"/>
        </w:trPr>
        <w:tc>
          <w:tcPr>
            <w:tcW w:w="7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1289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3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no exploratory wells for which costs have been capitalized for a period greater than one year.</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periodically assesses the need for an impairment of the capitalized costs for its proved natural gas and oil properties. No impairments were recognized to adjust the carrying value of the Company's proved natural gas and oil properties during any of the periods presented. Unproved natural gas and oil properties are also periodically assessed and any impairment in value is charged to expense. The costs related to unproved properties are transferred to proved natural gas and oil properties and amortized on an equivalent unit-of-production basis when they are reflected in proved natural gas and oil reserves.</w:t>
      </w:r>
    </w:p>
    <w:p>
      <w:pPr>
        <w:spacing w:after="0" w:line="15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determines the fair value of its natural gas and oil properties using a discounted cash flow model and proved and risk-adjusted probable natural gas and oil reserves. Undeveloped acreage can also be valued based on sales transactions in comparable areas. Significant Level 3 assumptions associated with the calculation of discounted future cash flows included in the cash flow model include management's outlook for natural gas and oil prices, production costs, capital expenditures, and future production as well as estimated proved natural gas and oil reserves and risk-adjusted probable natural gas and oil reserves. Management's natural gas and oil price outlook is developed based on third-party longer-term price forecasts as of each measurement date. The expected future net cash flows are discounted using an appropriate discount rate in determining a property's fair value.</w:t>
      </w:r>
    </w:p>
    <w:p>
      <w:pPr>
        <w:spacing w:after="0" w:line="14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It is reasonably possible that the Company's estimates of undiscounted future net cash flows attributable to its natural gas and oil properties may change in the future. The primary factors that may affect estimates of future cash flows include future adjustments, both positive and negative, to proved and appropriate risk-adjusted probable natural gas and oil reserves, results of future drilling activities, future prices for natural gas and oil, and increases or decreases in production and capital costs. As a result of these changes, there may be future impairments in the carrying values of these or other properties.</w:t>
      </w:r>
    </w:p>
    <w:p>
      <w:pPr>
        <w:spacing w:after="0" w:line="13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Other property and equipment consists primarily of pipelines and natural gas treating plants ("midstream assets"), computer equipment, furniture and fixtures, office buildings and an airplane which are depreciated over estimated useful lives ranging from three to 50 years on a straight-line basis.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balance of other property and equipment and accumulated depreciation as of March 31, 2026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82" w:lineRule="exact"/>
        <w:rPr>
          <w:sz w:val="20"/>
          <w:szCs w:val="20"/>
          <w:color w:val="auto"/>
        </w:rPr>
      </w:pPr>
    </w:p>
    <w:tbl>
      <w:tblPr>
        <w:tblLayout w:type="fixed"/>
        <w:tblInd w:w="254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6"/>
        </w:trPr>
        <w:tc>
          <w:tcPr>
            <w:tcW w:w="2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r>
      <w:tr>
        <w:trPr>
          <w:trHeight w:val="212"/>
        </w:trPr>
        <w:tc>
          <w:tcPr>
            <w:tcW w:w="2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r>
      <w:tr>
        <w:trPr>
          <w:trHeight w:val="202"/>
        </w:trPr>
        <w:tc>
          <w:tcPr>
            <w:tcW w:w="2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6"/>
                <w:szCs w:val="16"/>
                <w:i w:val="1"/>
                <w:iCs w:val="1"/>
                <w:color w:val="auto"/>
              </w:rPr>
              <w:t>(in</w:t>
            </w:r>
          </w:p>
        </w:tc>
        <w:tc>
          <w:tcPr>
            <w:tcW w:w="144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i w:val="1"/>
                <w:iCs w:val="1"/>
                <w:color w:val="auto"/>
                <w:w w:val="82"/>
              </w:rPr>
              <w:t>thousands)</w:t>
            </w:r>
          </w:p>
        </w:tc>
        <w:tc>
          <w:tcPr>
            <w:tcW w:w="80" w:type="dxa"/>
            <w:vAlign w:val="bottom"/>
          </w:tcPr>
          <w:p>
            <w:pPr>
              <w:spacing w:after="0"/>
              <w:rPr>
                <w:sz w:val="17"/>
                <w:szCs w:val="17"/>
                <w:color w:val="auto"/>
              </w:rPr>
            </w:pP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Midstream assets</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418,547</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363,855</w:t>
            </w:r>
          </w:p>
        </w:tc>
        <w:tc>
          <w:tcPr>
            <w:tcW w:w="80" w:type="dxa"/>
            <w:vAlign w:val="bottom"/>
            <w:shd w:val="clear" w:color="auto" w:fill="CFF0FC"/>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(6,044)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(4,914)</w:t>
            </w:r>
          </w:p>
        </w:tc>
      </w:tr>
      <w:tr>
        <w:trPr>
          <w:trHeight w:val="209"/>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midstream assets</w:t>
            </w:r>
          </w:p>
        </w:tc>
        <w:tc>
          <w:tcPr>
            <w:tcW w:w="5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358,941</w:t>
            </w:r>
          </w:p>
        </w:tc>
        <w:tc>
          <w:tcPr>
            <w:tcW w:w="80" w:type="dxa"/>
            <w:vAlign w:val="bottom"/>
            <w:shd w:val="clear" w:color="auto" w:fill="CFF0FC"/>
          </w:tcPr>
          <w:p>
            <w:pPr>
              <w:spacing w:after="0"/>
              <w:rPr>
                <w:sz w:val="18"/>
                <w:szCs w:val="18"/>
                <w:color w:val="auto"/>
              </w:rPr>
            </w:pPr>
          </w:p>
        </w:tc>
      </w:tr>
      <w:tr>
        <w:trPr>
          <w:trHeight w:val="33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80" w:type="dxa"/>
            <w:vAlign w:val="bottom"/>
          </w:tcPr>
          <w:p>
            <w:pPr>
              <w:spacing w:after="0"/>
              <w:rPr>
                <w:sz w:val="24"/>
                <w:szCs w:val="24"/>
                <w:color w:val="auto"/>
              </w:rPr>
            </w:pP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(2,359)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(1,982)</w:t>
            </w:r>
          </w:p>
        </w:tc>
      </w:tr>
      <w:tr>
        <w:trPr>
          <w:trHeight w:val="210"/>
        </w:trPr>
        <w:tc>
          <w:tcPr>
            <w:tcW w:w="2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other property and equipment</w:t>
            </w:r>
          </w:p>
        </w:tc>
        <w:tc>
          <w:tcPr>
            <w:tcW w:w="5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20,819</w:t>
            </w:r>
          </w:p>
        </w:tc>
        <w:tc>
          <w:tcPr>
            <w:tcW w:w="80" w:type="dxa"/>
            <w:vAlign w:val="bottom"/>
            <w:tcBorders>
              <w:top w:val="single" w:sz="8" w:color="CFF0FC"/>
            </w:tcBorders>
          </w:tcPr>
          <w:p>
            <w:pPr>
              <w:spacing w:after="0"/>
              <w:rPr>
                <w:sz w:val="18"/>
                <w:szCs w:val="18"/>
                <w:color w:val="auto"/>
              </w:rPr>
            </w:pPr>
          </w:p>
        </w:tc>
      </w:tr>
      <w:tr>
        <w:trPr>
          <w:trHeight w:val="115"/>
        </w:trPr>
        <w:tc>
          <w:tcPr>
            <w:tcW w:w="2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36"/>
        </w:trPr>
        <w:tc>
          <w:tcPr>
            <w:tcW w:w="2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433,005</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379,760</w:t>
            </w:r>
          </w:p>
        </w:tc>
        <w:tc>
          <w:tcPr>
            <w:tcW w:w="80" w:type="dxa"/>
            <w:vAlign w:val="bottom"/>
            <w:shd w:val="clear" w:color="auto" w:fill="CFF0FC"/>
          </w:tcPr>
          <w:p>
            <w:pPr>
              <w:spacing w:after="0"/>
              <w:rPr>
                <w:sz w:val="20"/>
                <w:szCs w:val="20"/>
                <w:color w:val="auto"/>
              </w:rPr>
            </w:pPr>
          </w:p>
        </w:tc>
      </w:tr>
      <w:tr>
        <w:trPr>
          <w:trHeight w:val="20"/>
        </w:trPr>
        <w:tc>
          <w:tcPr>
            <w:tcW w:w="29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-393700</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-393700</wp:posOffset>
            </wp:positionV>
            <wp:extent cx="51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-25400</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51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514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 also assesses the need for an impairment of its midstream assets when events or changes in circumstances, such as a significant decline in natural gas volumes gathered and processed, indicate that the Company may not be able to recover its capitalized costs. If impairment is indicated based on undiscounted expected future cash flows attributable to the pipelines and natural gas treating plants, then impairment is recognized to the extent the capitalized costs of the pipelines and natural gas treating plants exceed their estimated fair value. Significant Level 3 assumptions associated with the calculation of discounted future cash flows included in the cash flow model include management's outlook for future natural gas gathering and processing volumes, operation costs and capital expenditures and the expected future net cash flows are discounted at an appropriate rate to determine fair value.</w:t>
      </w:r>
    </w:p>
    <w:p>
      <w:pPr>
        <w:spacing w:after="0" w:line="1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had goodwill of $335.9 million as of March 31, 2026 that was recorded in 2018. The Company is not required to amortize goodwill as a charge to earnings; however, the Company is required to conduct an annual review of goodwill for impairment. The Company performs an annual assessment of goodwill on October 1 of each year and performs interim assessments if indicators of impairment are present. If the carrying value of goodwill exceeds the fair value, an impairment charge would be recorded for the difference between fair value and carrying value. No impairment indicators were identified during the periods presented.</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 has right-of-use lease assets of $83.1 million related to its corporate office, certain office equipment, vehicles and drilling rigs with corresponding short-term and long-term liabilities. The value of the lease assets and liabilities are determined based upon discounted future minimum cash flows contained within each of the respective contracts. The Company determines if contracts contain a lease at inception of the contract. To the extent that contract terms representing a lease are identified, leases are identified as being either an operating lease or a finance-type lease. Comstock currently has no finance-type leases. Right-of-use lease assets representing the Company's right to use an underlying asset for the lease term and the related lease liabilities represent the Company's obligation to make lease payments under the terms of the contracts. Short-term leases that have an initial term of one year or less are not capitalized; however, amounts paid for those leases are included as part of its lease cost disclosures. Short-term lease costs exclude expenses related to leases with a lease term of one month or less. Leases for the right to explore for and develop natural gas and oil reserves and the related rights to use the land associated with those leases are reflected as natural gas and oil properties.</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Comstock contracts for a variety of equipment used in its natural gas and oil exploration and development activities. Contract terms for this equipment vary broadly, including the contract duration, pricing, scope of services included along with the equipment, cancellation terms, and rights of substitution, among others. The Company's drilling and completion operations routinely change due to changes in commodity prices, demand for natural gas and oil, and the overall operating and economic environment. Accordingly, Comstock manages the terms of its contracts for drilling rigs and completion equipment so as to allow for maximum flexibility in responding to these changing conditions. The Company's hydraulic fracturing fleet contracts are on terms of less than one year and include rights of substitution. The Company has four drilling rig contracts with a three-year term with options to extend the term by mutual agreement at mutually acceptable terms or terminate the contracts at any time without default by the lessor. The terms on the Company's other drilling rig contracts are presently either for periods of one year or less, or they are on terms that provide for cancellation with 30 or 45 days advance notice without a specified expiration date. The costs associated with drilling and completion operations are accounted for under the successful efforts method, which generally require that these costs be capitalized as part of the Company's proved natural gas and oil properties on its balance sheet unless they are incurred on exploration wells that are unsuccessful, in which case they are charged to exploration expense.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Lease costs recognized during the three months ended March 31, 2026 and 2025 were as follows: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4"/>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5"/>
        </w:trPr>
        <w:tc>
          <w:tcPr>
            <w:tcW w:w="8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374"/>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20" w:type="dxa"/>
            <w:vAlign w:val="bottom"/>
            <w:tcBorders>
              <w:bottom w:val="single" w:sz="8" w:color="auto"/>
            </w:tcBorders>
          </w:tcPr>
          <w:p>
            <w:pPr>
              <w:spacing w:after="0"/>
              <w:rPr>
                <w:sz w:val="18"/>
                <w:szCs w:val="18"/>
                <w:color w:val="auto"/>
              </w:rPr>
            </w:pPr>
          </w:p>
        </w:tc>
      </w:tr>
      <w:tr>
        <w:trPr>
          <w:trHeight w:val="199"/>
        </w:trPr>
        <w:tc>
          <w:tcPr>
            <w:tcW w:w="8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196"/>
        </w:trPr>
        <w:tc>
          <w:tcPr>
            <w:tcW w:w="8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1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 included in general and administrative expense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 included in lease operating expense</w:t>
            </w:r>
          </w:p>
        </w:tc>
        <w:tc>
          <w:tcPr>
            <w:tcW w:w="16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 included in natural gas and oil properties</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12,147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11,300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 (drilling rig costs included in natural gas and oil properties)</w:t>
            </w:r>
          </w:p>
        </w:tc>
        <w:tc>
          <w:tcPr>
            <w:tcW w:w="16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12,299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1,721</w:t>
            </w:r>
          </w:p>
        </w:tc>
      </w:tr>
      <w:tr>
        <w:trPr>
          <w:trHeight w:val="216"/>
        </w:trPr>
        <w:tc>
          <w:tcPr>
            <w:tcW w:w="8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 (drilling rig costs included in natural gas and oil properties)</w:t>
            </w: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12,148</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5,388</w:t>
            </w:r>
          </w:p>
        </w:tc>
      </w:tr>
      <w:tr>
        <w:trPr>
          <w:trHeight w:val="209"/>
        </w:trPr>
        <w:tc>
          <w:tcPr>
            <w:tcW w:w="80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37,618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19,350</w:t>
            </w:r>
          </w:p>
        </w:tc>
      </w:tr>
      <w:tr>
        <w:trPr>
          <w:trHeight w:val="20"/>
        </w:trPr>
        <w:tc>
          <w:tcPr>
            <w:tcW w:w="8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-170815</wp:posOffset>
            </wp:positionV>
            <wp:extent cx="111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3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Cash payments for operating leases associated with right-of-use lease assets included in net cash provided by operating activities were $1.0 million and $0.9 million for the three months ended March 31, 2026 and 2025, respectively. Cash payments for operating leases associated with right-of-use lease assets included in net cash used for investing activities were $36.6 million and $18.4 million for the three months ended March 31, 2026 and 2025, respectively.</w:t>
      </w:r>
    </w:p>
    <w:p>
      <w:pPr>
        <w:spacing w:after="0" w:line="13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operating leases had a weighted-average term of 2.2 years and 2.4 years, respectively, and the weighted-average discount rate used to determine the present value of future operating lease payments was 6.8% and 6.8%, respectively. As of March 31, 2026, the Company also had expected future payments for short term leased drilling services of $6.1 million.</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31, 2026, expected future payments related to contracts that contain operating leases were as follows:</w:t>
      </w:r>
    </w:p>
    <w:p>
      <w:pPr>
        <w:spacing w:after="0" w:line="187" w:lineRule="exact"/>
        <w:rPr>
          <w:sz w:val="20"/>
          <w:szCs w:val="20"/>
          <w:color w:val="auto"/>
        </w:rPr>
      </w:pPr>
    </w:p>
    <w:tbl>
      <w:tblPr>
        <w:tblLayout w:type="fixed"/>
        <w:tblInd w:w="25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22"/>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to December 31, 2026</w:t>
            </w:r>
          </w:p>
        </w:tc>
        <w:tc>
          <w:tcPr>
            <w:tcW w:w="32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38,273</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29,238</w:t>
            </w: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14,540</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89,491</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(6,690)</w:t>
            </w: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82,801</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Accrued Costs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costs at March 31, 2026 and December 31, 2025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81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4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4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gridSpan w:val="5"/>
          </w:tcPr>
          <w:p>
            <w:pPr>
              <w:jc w:val="center"/>
              <w:ind w:right="16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193"/>
        </w:trPr>
        <w:tc>
          <w:tcPr>
            <w:tcW w:w="14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drilling costs</w:t>
            </w:r>
          </w:p>
        </w:tc>
        <w:tc>
          <w:tcPr>
            <w:tcW w:w="2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37,401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36,148</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Accrued transportation costs</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25,433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28,304</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22,094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64,042</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Accrued ad valorem and other taxes</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4,000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lease operating expenses</w:t>
            </w:r>
          </w:p>
        </w:tc>
        <w:tc>
          <w:tcPr>
            <w:tcW w:w="2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3,744</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14,926</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2,084</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100,810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153,248</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8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4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-1010920</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00" w:lineRule="exact"/>
        <w:rPr>
          <w:sz w:val="20"/>
          <w:szCs w:val="20"/>
          <w:color w:val="auto"/>
        </w:rPr>
      </w:pP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Reserve for Future Abandonment Costs</w:t>
      </w:r>
    </w:p>
    <w:p>
      <w:pPr>
        <w:spacing w:after="0" w:line="20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Comstock's asset retirement obligations relate to future plugging and abandonment expenses on its natural gas and oil properties and disposal of other facilities. The following table summarizes the changes in Comstock's total estimated liability for such obligations during the periods presented:</w:t>
      </w:r>
    </w:p>
    <w:p>
      <w:pPr>
        <w:spacing w:after="0" w:line="164" w:lineRule="exact"/>
        <w:rPr>
          <w:sz w:val="20"/>
          <w:szCs w:val="20"/>
          <w:color w:val="auto"/>
        </w:rPr>
      </w:pPr>
    </w:p>
    <w:tbl>
      <w:tblPr>
        <w:tblLayout w:type="fixed"/>
        <w:tblInd w:w="142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4"/>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5"/>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435"/>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860" w:type="dxa"/>
            <w:vAlign w:val="bottom"/>
            <w:tcBorders>
              <w:bottom w:val="single" w:sz="8" w:color="auto"/>
            </w:tcBorders>
          </w:tcPr>
          <w:p>
            <w:pPr>
              <w:spacing w:after="0"/>
              <w:rPr>
                <w:sz w:val="18"/>
                <w:szCs w:val="18"/>
                <w:color w:val="auto"/>
              </w:rPr>
            </w:pPr>
          </w:p>
        </w:tc>
      </w:tr>
      <w:tr>
        <w:trPr>
          <w:trHeight w:val="199"/>
        </w:trPr>
        <w:tc>
          <w:tcPr>
            <w:tcW w:w="5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5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center"/>
              <w:ind w:left="435"/>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60" w:type="dxa"/>
            <w:vAlign w:val="bottom"/>
          </w:tcPr>
          <w:p>
            <w:pPr>
              <w:spacing w:after="0"/>
              <w:rPr>
                <w:sz w:val="17"/>
                <w:szCs w:val="17"/>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 for future abandonment costs at beginning of period</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20,787</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33,996</w:t>
            </w:r>
          </w:p>
        </w:tc>
      </w:tr>
      <w:tr>
        <w:trPr>
          <w:trHeight w:val="216"/>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wells and facilities placed on production</w:t>
            </w:r>
          </w:p>
        </w:tc>
        <w:tc>
          <w:tcPr>
            <w:tcW w:w="24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Accretion expense</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493</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Reserve for future abandonment costs at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21,125</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34,507</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-170815</wp:posOffset>
            </wp:positionV>
            <wp:extent cx="939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Hedging Activities</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All of the Company's derivative financial instruments are used for risk management purposes and, by policy, none are held for trading or speculative purposes. Comstock minimizes credit risk to counterparties of its derivative financial instruments through formal credit policies, monitoring procedures, and diversification. The Company is not required to provide any credit support to its counterparties other than cross collateralization with the assets securing its bank credit facility. None of the Company's derivative financial instruments involve payment or receipt of premiums. The Company classifies the fair value amounts of derivative financial instruments as net current or noncurrent assets or liabilities, whichever the case may be, by commodity contract. None of the Company's derivative contracts were designated as cash flow hedges. All of Comstock's outstanding natural gas derivative financial instruments are tied to the Henry Hub-NYMEX price index.</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had the following natural gas price derivative financial instruments at March 31, 2026:</w:t>
      </w:r>
    </w:p>
    <w:p>
      <w:pPr>
        <w:spacing w:after="0" w:line="228" w:lineRule="exact"/>
        <w:rPr>
          <w:sz w:val="20"/>
          <w:szCs w:val="20"/>
          <w:color w:val="auto"/>
        </w:rPr>
      </w:pPr>
    </w:p>
    <w:tbl>
      <w:tblPr>
        <w:tblLayout w:type="fixed"/>
        <w:tblInd w:w="1420" w:type="dxa"/>
        <w:tblCellMar>
          <w:top w:w="0" w:type="dxa"/>
          <w:left w:w="0" w:type="dxa"/>
          <w:bottom w:w="0" w:type="dxa"/>
          <w:right w:w="0" w:type="dxa"/>
        </w:tblCellMar>
      </w:tblPr>
      <w:tr>
        <w:trPr>
          <w:trHeight w:val="215"/>
        </w:trPr>
        <w:tc>
          <w:tcPr>
            <w:tcW w:w="4480" w:type="dxa"/>
            <w:vAlign w:val="bottom"/>
          </w:tcPr>
          <w:p>
            <w:pPr>
              <w:spacing w:after="0"/>
              <w:rPr>
                <w:sz w:val="18"/>
                <w:szCs w:val="18"/>
                <w:color w:val="auto"/>
              </w:rPr>
            </w:pPr>
          </w:p>
        </w:tc>
        <w:tc>
          <w:tcPr>
            <w:tcW w:w="2940" w:type="dxa"/>
            <w:vAlign w:val="bottom"/>
            <w:tcBorders>
              <w:bottom w:val="single" w:sz="8" w:color="auto"/>
            </w:tcBorders>
            <w:gridSpan w:val="5"/>
          </w:tcPr>
          <w:p>
            <w:pPr>
              <w:jc w:val="center"/>
              <w:ind w:left="915"/>
              <w:spacing w:after="0"/>
              <w:rPr>
                <w:sz w:val="20"/>
                <w:szCs w:val="20"/>
                <w:color w:val="auto"/>
              </w:rPr>
            </w:pPr>
            <w:r>
              <w:rPr>
                <w:rFonts w:ascii="Times New Roman" w:cs="Times New Roman" w:eastAsia="Times New Roman" w:hAnsi="Times New Roman"/>
                <w:sz w:val="16"/>
                <w:szCs w:val="16"/>
                <w:b w:val="1"/>
                <w:bCs w:val="1"/>
                <w:color w:val="auto"/>
              </w:rPr>
              <w:t>Future Production Period</w:t>
            </w:r>
          </w:p>
        </w:tc>
        <w:tc>
          <w:tcPr>
            <w:tcW w:w="1000" w:type="dxa"/>
            <w:vAlign w:val="bottom"/>
            <w:tcBorders>
              <w:bottom w:val="single" w:sz="8" w:color="auto"/>
            </w:tcBorders>
          </w:tcPr>
          <w:p>
            <w:pPr>
              <w:spacing w:after="0"/>
              <w:rPr>
                <w:sz w:val="18"/>
                <w:szCs w:val="18"/>
                <w:color w:val="auto"/>
              </w:rPr>
            </w:pPr>
          </w:p>
        </w:tc>
      </w:tr>
      <w:tr>
        <w:trPr>
          <w:trHeight w:val="183"/>
        </w:trPr>
        <w:tc>
          <w:tcPr>
            <w:tcW w:w="44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44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160" w:type="dxa"/>
            <w:vAlign w:val="bottom"/>
          </w:tcPr>
          <w:p>
            <w:pPr>
              <w:spacing w:after="0"/>
              <w:rPr>
                <w:sz w:val="17"/>
                <w:szCs w:val="17"/>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Year Ending</w:t>
            </w:r>
          </w:p>
        </w:tc>
        <w:tc>
          <w:tcPr>
            <w:tcW w:w="100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7"/>
                <w:szCs w:val="17"/>
                <w:color w:val="auto"/>
              </w:rPr>
            </w:pPr>
          </w:p>
        </w:tc>
        <w:tc>
          <w:tcPr>
            <w:tcW w:w="15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Pr>
          <w:p>
            <w:pPr>
              <w:spacing w:after="0"/>
              <w:rPr>
                <w:sz w:val="17"/>
                <w:szCs w:val="17"/>
                <w:color w:val="auto"/>
              </w:rPr>
            </w:pPr>
          </w:p>
        </w:tc>
      </w:tr>
      <w:tr>
        <w:trPr>
          <w:trHeight w:val="215"/>
        </w:trPr>
        <w:tc>
          <w:tcPr>
            <w:tcW w:w="44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2026</w:t>
            </w:r>
          </w:p>
        </w:tc>
        <w:tc>
          <w:tcPr>
            <w:tcW w:w="1360" w:type="dxa"/>
            <w:vAlign w:val="bottom"/>
            <w:gridSpan w:val="2"/>
          </w:tcPr>
          <w:p>
            <w:pPr>
              <w:jc w:val="center"/>
              <w:ind w:left="72"/>
              <w:spacing w:after="0"/>
              <w:rPr>
                <w:sz w:val="20"/>
                <w:szCs w:val="20"/>
                <w:color w:val="auto"/>
              </w:rPr>
            </w:pPr>
            <w:r>
              <w:rPr>
                <w:rFonts w:ascii="Times New Roman" w:cs="Times New Roman" w:eastAsia="Times New Roman" w:hAnsi="Times New Roman"/>
                <w:sz w:val="16"/>
                <w:szCs w:val="16"/>
                <w:b w:val="1"/>
                <w:bCs w:val="1"/>
                <w:color w:val="auto"/>
                <w:w w:val="99"/>
              </w:rPr>
              <w:t>2027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Natural Gas Price Swap Contracts:</w:t>
            </w: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r>
      <w:tr>
        <w:trPr>
          <w:trHeight w:val="216"/>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Volume (MMBtu)</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88,000,000</w:t>
            </w:r>
          </w:p>
        </w:tc>
        <w:tc>
          <w:tcPr>
            <w:tcW w:w="160" w:type="dxa"/>
            <w:vAlign w:val="bottom"/>
          </w:tcPr>
          <w:p>
            <w:pPr>
              <w:spacing w:after="0"/>
              <w:rPr>
                <w:sz w:val="18"/>
                <w:szCs w:val="18"/>
                <w:color w:val="auto"/>
              </w:rPr>
            </w:pP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88,000,000</w:t>
            </w:r>
          </w:p>
        </w:tc>
      </w:tr>
      <w:tr>
        <w:trPr>
          <w:trHeight w:val="216"/>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Average Price per MMBtu</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Natural Gas Price Collar Contracts: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Volume (MMBtu)</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126,500,000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146,000,000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272,500,000</w:t>
            </w:r>
          </w:p>
        </w:tc>
      </w:tr>
      <w:tr>
        <w:trPr>
          <w:trHeight w:val="216"/>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Average Price per MMBtu:</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Average Ceiling</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4"/>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Average Floor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classification of derivative financial instruments of assets or liabilities, consists of the following:</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60" w:type="dxa"/>
            <w:vAlign w:val="bottom"/>
            <w:tcBorders>
              <w:bottom w:val="single" w:sz="8" w:color="auto"/>
            </w:tcBorders>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5"/>
                <w:szCs w:val="15"/>
                <w:color w:val="auto"/>
              </w:rPr>
            </w:pPr>
          </w:p>
        </w:tc>
        <w:tc>
          <w:tcPr>
            <w:tcW w:w="1220" w:type="dxa"/>
            <w:vAlign w:val="bottom"/>
            <w:gridSpan w:val="2"/>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20" w:type="dxa"/>
            <w:vAlign w:val="bottom"/>
          </w:tcPr>
          <w:p>
            <w:pPr>
              <w:spacing w:after="0"/>
              <w:rPr>
                <w:sz w:val="18"/>
                <w:szCs w:val="18"/>
                <w:color w:val="auto"/>
              </w:rPr>
            </w:pPr>
          </w:p>
        </w:tc>
        <w:tc>
          <w:tcPr>
            <w:tcW w:w="33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60" w:type="dxa"/>
            <w:vAlign w:val="bottom"/>
          </w:tcPr>
          <w:p>
            <w:pPr>
              <w:spacing w:after="0"/>
              <w:rPr>
                <w:sz w:val="18"/>
                <w:szCs w:val="18"/>
                <w:color w:val="auto"/>
              </w:rPr>
            </w:pPr>
          </w:p>
        </w:tc>
        <w:tc>
          <w:tcPr>
            <w:tcW w:w="44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b w:val="1"/>
                <w:bCs w:val="1"/>
                <w:color w:val="auto"/>
              </w:rPr>
              <w:t>Consolidated Balance Sheet Location</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 Derivative Financial Instruments:</w:t>
            </w:r>
          </w:p>
        </w:tc>
        <w:tc>
          <w:tcPr>
            <w:tcW w:w="160" w:type="dxa"/>
            <w:vAlign w:val="bottom"/>
            <w:shd w:val="clear" w:color="auto" w:fill="CFF0FC"/>
          </w:tcPr>
          <w:p>
            <w:pPr>
              <w:spacing w:after="0"/>
              <w:rPr>
                <w:sz w:val="18"/>
                <w:szCs w:val="18"/>
                <w:color w:val="auto"/>
              </w:rPr>
            </w:pPr>
          </w:p>
        </w:tc>
        <w:tc>
          <w:tcPr>
            <w:tcW w:w="4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price derivatives</w:t>
            </w:r>
          </w:p>
        </w:tc>
        <w:tc>
          <w:tcPr>
            <w:tcW w:w="1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 current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50,178</w:t>
            </w:r>
          </w:p>
        </w:tc>
        <w:tc>
          <w:tcPr>
            <w:tcW w:w="5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19,206</w:t>
            </w: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300" w:type="dxa"/>
            <w:vAlign w:val="bottom"/>
            <w:shd w:val="clear" w:color="auto" w:fill="CFF0FC"/>
          </w:tcPr>
          <w:p>
            <w:pPr>
              <w:ind w:left="40"/>
              <w:spacing w:after="0" w:line="196" w:lineRule="exact"/>
              <w:rPr>
                <w:sz w:val="20"/>
                <w:szCs w:val="20"/>
                <w:color w:val="auto"/>
              </w:rPr>
            </w:pPr>
            <w:r>
              <w:rPr>
                <w:rFonts w:ascii="Times New Roman" w:cs="Times New Roman" w:eastAsia="Times New Roman" w:hAnsi="Times New Roman"/>
                <w:sz w:val="18"/>
                <w:szCs w:val="18"/>
                <w:color w:val="auto"/>
              </w:rPr>
              <w:t>Natural gas price derivatives</w:t>
            </w:r>
          </w:p>
        </w:tc>
        <w:tc>
          <w:tcPr>
            <w:tcW w:w="160" w:type="dxa"/>
            <w:vAlign w:val="bottom"/>
            <w:shd w:val="clear" w:color="auto" w:fill="CFF0FC"/>
          </w:tcPr>
          <w:p>
            <w:pPr>
              <w:spacing w:after="0"/>
              <w:rPr>
                <w:sz w:val="20"/>
                <w:szCs w:val="20"/>
                <w:color w:val="auto"/>
              </w:rPr>
            </w:pPr>
          </w:p>
        </w:tc>
        <w:tc>
          <w:tcPr>
            <w:tcW w:w="4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Derivative Financial Instruments – long-term</w:t>
            </w:r>
          </w:p>
        </w:tc>
        <w:tc>
          <w:tcPr>
            <w:tcW w:w="3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39,058</w:t>
            </w:r>
          </w:p>
        </w:tc>
        <w:tc>
          <w:tcPr>
            <w:tcW w:w="540" w:type="dxa"/>
            <w:vAlign w:val="bottom"/>
            <w:gridSpan w:val="2"/>
            <w:shd w:val="clear" w:color="auto" w:fill="CFF0FC"/>
          </w:tcPr>
          <w:p>
            <w:pPr>
              <w:jc w:val="right"/>
              <w:ind w:right="175"/>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33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Liability Derivative Financial Instruments:</w:t>
            </w:r>
          </w:p>
        </w:tc>
        <w:tc>
          <w:tcPr>
            <w:tcW w:w="160" w:type="dxa"/>
            <w:vAlign w:val="bottom"/>
            <w:tcBorders>
              <w:top w:val="single" w:sz="8" w:color="CFF0FC"/>
            </w:tcBorders>
          </w:tcPr>
          <w:p>
            <w:pPr>
              <w:spacing w:after="0"/>
              <w:rPr>
                <w:sz w:val="17"/>
                <w:szCs w:val="17"/>
                <w:color w:val="auto"/>
              </w:rPr>
            </w:pPr>
          </w:p>
        </w:tc>
        <w:tc>
          <w:tcPr>
            <w:tcW w:w="44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33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Natural gas price derivatives</w:t>
            </w:r>
          </w:p>
        </w:tc>
        <w:tc>
          <w:tcPr>
            <w:tcW w:w="160" w:type="dxa"/>
            <w:vAlign w:val="bottom"/>
            <w:tcBorders>
              <w:bottom w:val="single" w:sz="8" w:color="CFF0FC"/>
            </w:tcBorders>
            <w:shd w:val="clear" w:color="auto" w:fill="CFF0FC"/>
          </w:tcPr>
          <w:p>
            <w:pPr>
              <w:spacing w:after="0"/>
              <w:rPr>
                <w:sz w:val="22"/>
                <w:szCs w:val="22"/>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Financial Instruments – current</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14,882</w:t>
            </w:r>
          </w:p>
        </w:tc>
        <w:tc>
          <w:tcPr>
            <w:tcW w:w="1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27,636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-325120</wp:posOffset>
            </wp:positionV>
            <wp:extent cx="1111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-307975</wp:posOffset>
            </wp:positionV>
            <wp:extent cx="111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111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1111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Company recognized cash settlements and changes in the fair value of its derivative financial instruments as a single component of other income (expenses).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00" w:lineRule="exact"/>
        <w:rPr>
          <w:sz w:val="20"/>
          <w:szCs w:val="20"/>
          <w:color w:val="auto"/>
        </w:rPr>
      </w:pPr>
    </w:p>
    <w:p>
      <w:pPr>
        <w:spacing w:after="0" w:line="20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Gains and losses related to cash settlements and changes in the fair value recognized on the Company's derivative contracts recognized in the consolidated statement of operations were as follows: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0" w:type="dxa"/>
            <w:vAlign w:val="bottom"/>
          </w:tcPr>
          <w:p>
            <w:pPr>
              <w:spacing w:after="0"/>
              <w:rPr>
                <w:sz w:val="17"/>
                <w:szCs w:val="17"/>
                <w:color w:val="auto"/>
              </w:rPr>
            </w:pPr>
          </w:p>
        </w:tc>
      </w:tr>
      <w:tr>
        <w:trPr>
          <w:trHeight w:val="212"/>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02"/>
        </w:trPr>
        <w:tc>
          <w:tcPr>
            <w:tcW w:w="53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b w:val="1"/>
                <w:bCs w:val="1"/>
                <w:color w:val="auto"/>
              </w:rPr>
              <w:t>Gain (loss) on Derivatives Recognized in Earnings</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w w:val="93"/>
              </w:rPr>
              <w:t>2025</w:t>
            </w:r>
          </w:p>
        </w:tc>
      </w:tr>
      <w:tr>
        <w:trPr>
          <w:trHeight w:val="142"/>
        </w:trPr>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ind w:right="11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80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i w:val="1"/>
                <w:iCs w:val="1"/>
                <w:color w:val="auto"/>
                <w:w w:val="74"/>
              </w:rPr>
              <w:t>thousands)</w:t>
            </w:r>
          </w:p>
        </w:tc>
        <w:tc>
          <w:tcPr>
            <w:tcW w:w="1000" w:type="dxa"/>
            <w:vAlign w:val="bottom"/>
          </w:tcPr>
          <w:p>
            <w:pPr>
              <w:spacing w:after="0"/>
              <w:rPr>
                <w:sz w:val="12"/>
                <w:szCs w:val="12"/>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Natural gas price derivatives</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2,396</w:t>
            </w: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(330,339)</w:t>
            </w:r>
          </w:p>
        </w:tc>
      </w:tr>
      <w:tr>
        <w:trPr>
          <w:trHeight w:val="20"/>
        </w:trPr>
        <w:tc>
          <w:tcPr>
            <w:tcW w:w="53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10"/>
        </w:trPr>
        <w:tc>
          <w:tcPr>
            <w:tcW w:w="53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2,396</w:t>
            </w: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(330,339)</w:t>
            </w:r>
          </w:p>
        </w:tc>
      </w:tr>
      <w:tr>
        <w:trPr>
          <w:trHeight w:val="20"/>
        </w:trPr>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-170815</wp:posOffset>
            </wp:positionV>
            <wp:extent cx="1543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Comstock accounts for employee stock-based compensation under the fair value method. Compensation cost is measured at the grant date based on the fair value of the award and is recognized over the award vesting period and included in general and administrative expenses for awards of restricted stock and performance stock units ("PSUs") to the Company's employees and directors. The Company recognized $7.4 million and $4.4 million of stock-based compensation expense within general and administrative expenses related to awards of restricted stock and PSUs to its employees and directors during the three months ended March 31, 2026 and 2025, respectively.</w:t>
      </w:r>
    </w:p>
    <w:p>
      <w:pPr>
        <w:spacing w:after="0" w:line="14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January 2026, the Company granted 894,373 shares of restricted stock to its directors and employees, which were valued at $22.47 per share. As of March 31, 2026, Comstock had 2,146,303 shares of unvested restricted stock outstanding at a weighted average grant date fair value of $16.90 per share. Total unrecognized compensation cost related to unvested restricted stock grants of $31.2 million as of March 31, 2026 is expected to be recognized over a period of 2.3 years.</w:t>
      </w:r>
    </w:p>
    <w:p>
      <w:pPr>
        <w:spacing w:after="0" w:line="15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January 2026, the Company granted 596,623 PSUs to its executive officers, which were valued at $27.85 per unit. As of March 31, 2026, Comstock had 2,200,539 PSUs outstanding with a weighted average grant date fair value of $21.74 per unit. The number of shares of common stock to be issued related to the PSUs is based on the Company's stock price performance as compared to its peers which could result in the issuance of anywhere from zero to 4,401,078 shares of common stock. Total unrecognized compensation cost related to these grants of $32.1 million as of March 31, 2026 is expected to be recognized over a period of 2.3 years.</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presently operates in one business segment, the exploration and production of North American natural gas and oil, primarily in the Haynesville and Bossier shale. The measure of segment profit or loss used by the chief operating decision maker ("CODM") is consolidated net income, which is provided in the accompanying consolidated statements of operations. The significant segment expenses regularly provided to the CODM are operating expenses and certain significant non-operating items, such as gains or losses from derivative financial instruments, interest expense and income tax expense. These items are also detailed in the accompanying consolidated statements of operations.</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Comstock produces natural gas and oil and reports revenues separately for each of these two primary products in its statements of operations. Revenues are recognized upon the transfer of produced volumes to the Company's customers, who take control of the volumes and receive all the benefits of ownership upon delivery at designated sales points.</w:t>
      </w:r>
    </w:p>
    <w:p>
      <w:pPr>
        <w:spacing w:after="0" w:line="13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Gas services revenues represent sales of natural gas purchased for resale from unaffiliated third parties and fees received for gathering and treating services provided by PGS to third parties. Revenues are recognized upon completion of the gathering and treating of contracted natural gas volumes and delivery of purchased natural gas volumes to the Company's customers. Profits and losses earned from the gathering and treating of natural gas produced by the Company's natural gas wells are eliminated in consolidation. Revenues and expenses associated with natural gas purchased for resale are presented on a gross basis in the Company's consolidated statements of operations as the Company acts as the principal in the transaction by assuming the risks and rewards from ownership of the natural gas volumes purchased and the responsibility to deliver the natural gas volumes to their sales point.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00" w:lineRule="exact"/>
        <w:rPr>
          <w:sz w:val="20"/>
          <w:szCs w:val="20"/>
          <w:color w:val="auto"/>
        </w:rPr>
      </w:pPr>
    </w:p>
    <w:p>
      <w:pPr>
        <w:spacing w:after="0" w:line="20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All natural gas and oil and gas services revenues are subject to contracts that have commercial substance, contain specific pricing terms, and define the enforceable rights and obligations of both parties. These contracts typically provide for cash settlement within 25 days following each production month and are cancellable upon 30 days' notice by either party for oil and vary for natural gas based upon the terms set out in the confirmations between both parties. Prices for sales of natural gas and oil are generally based upon terms that are common in the oil and gas industry, including index or spot prices, location and quality differentials, as well as market supply and demand conditions. As a result, prices for natural gas and oil routinely fluctuate based on changes in these factors. Prices for gathering and treating services are generally fixed in nature but can vary due to the quality of the gas being treated. Each unit of production (thousand cubic feet of natural gas and barrel of crude oil) represents a separate performance obligation under the Company's contracts since each unit has economic benefit on its own and each is priced separately according to the terms of the contracts.</w:t>
      </w:r>
    </w:p>
    <w:p>
      <w:pPr>
        <w:spacing w:after="0" w:line="16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Comstock has elected to exclude all taxes from the measurement of transaction prices, and its revenues are reported net of royalties and exclude revenue interests owned by others because the Company acts as an agent when selling natural gas and oil on behalf of royalty owners and working interest owners. Revenue is recorded in the month of production based on an estimate of the Company's share of volumes produced and prices realized. Gas services revenue is recorded in the month the services are performed and purchased gas is sold based on an estimate of natural gas volumes and contract prices. The Company recognizes any differences between estimates and actual amounts received in the month when payment is received. Historically, differences between estimated revenues and actual revenues received have not been significant. The amount of natural gas or oil sold may differ from the amount to which the Company is entitled based on its revenue interests in the properties. The Company did not have any significant imbalance positions at March 31, 2026 or December 31, 2025.</w:t>
      </w:r>
    </w:p>
    <w:p>
      <w:pPr>
        <w:spacing w:after="0" w:line="15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 recognized accounts receivable of $126.4 million and $203.5 million as of March 31, 2026 and December 31, 2025, respectively, from purchasers for contracts where performance obligations have been satisfied and an unconditional right to consideration exists.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Substantially all of the Company's accounts receivable are due from either purchasers of natural gas and oil or participants in natural gas and oil wells for which the Company serves as the operator. Generally, operators of natural gas and oil wells have the right to offset future revenues against unpaid charges related to operated wells. Natural gas and oil sales are generally unsecured. Comstock assesses the collectability of its receivables based upon their age, the credit quality of the purchaser or participant and the potential for revenue offset. The Company has not had any significant credit losses in the past and believes its accounts receivable are fully collectible. Accordingly, no allowance for doubtful accounts has been recorded for the three months ended March 31, 2026 and 2025.</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Deferred income taxes are provided to reflect the future tax consequences or benefits of differences between the tax basis of assets and liabilities and their reported amounts in the financial statements using enacted tax rates.</w:t>
      </w:r>
    </w:p>
    <w:p>
      <w:pPr>
        <w:spacing w:after="0" w:line="13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recording deferred income tax assets, the Company considers whether it is more likely than not that its deferred income tax assets will be realized in the future. The ultimate realization of deferred income tax assets is dependent upon the generation of future taxable income during the periods in which those deferred income tax assets would be deductible. The Company believes that after considering all the available objective evidence, historical and prospective, with greater weight given to historical evidence, management is not able to determine that it is more likely than not that all of its deferred tax assets will be realized. As a result, the Company established valuation allowances for its deferred tax assets and U.S. federal and state net operating loss carryforwards that are not expected to be utilized due to the uncertainty of generating taxable income prior to the expiration of the carryforward periods. The Company will continue to assess the valuation allowances against deferred tax assets considering all available information obtained in future periods.</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an analysis of the consolidated income tax provision (benefit):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80" w:type="dxa"/>
            <w:vAlign w:val="bottom"/>
            <w:gridSpan w:val="5"/>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5"/>
        </w:trPr>
        <w:tc>
          <w:tcPr>
            <w:tcW w:w="5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9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199"/>
        </w:trPr>
        <w:tc>
          <w:tcPr>
            <w:tcW w:w="5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3"/>
          </w:tcPr>
          <w:p>
            <w:pPr>
              <w:jc w:val="center"/>
              <w:ind w:left="455"/>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 Federal</w:t>
            </w:r>
          </w:p>
        </w:tc>
        <w:tc>
          <w:tcPr>
            <w:tcW w:w="4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18,824</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Deferred - State</w:t>
            </w:r>
          </w:p>
        </w:tc>
        <w:tc>
          <w:tcPr>
            <w:tcW w:w="4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(77,346)</w:t>
            </w: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140" w:type="dxa"/>
            <w:vAlign w:val="bottom"/>
            <w:shd w:val="clear" w:color="auto" w:fill="CFF0FC"/>
          </w:tcPr>
          <w:p>
            <w:pPr>
              <w:spacing w:after="0"/>
              <w:rPr>
                <w:sz w:val="21"/>
                <w:szCs w:val="21"/>
                <w:color w:val="auto"/>
              </w:rPr>
            </w:pPr>
          </w:p>
        </w:tc>
        <w:tc>
          <w:tcPr>
            <w:tcW w:w="4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11,990</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(143,276)</w:t>
            </w:r>
          </w:p>
        </w:tc>
        <w:tc>
          <w:tcPr>
            <w:tcW w:w="560" w:type="dxa"/>
            <w:vAlign w:val="bottom"/>
          </w:tcPr>
          <w:p>
            <w:pPr>
              <w:spacing w:after="0"/>
              <w:rPr>
                <w:sz w:val="21"/>
                <w:szCs w:val="21"/>
                <w:color w:val="auto"/>
              </w:rPr>
            </w:pPr>
          </w:p>
        </w:tc>
      </w:tr>
      <w:tr>
        <w:trPr>
          <w:trHeight w:val="520"/>
        </w:trPr>
        <w:tc>
          <w:tcPr>
            <w:tcW w:w="580" w:type="dxa"/>
            <w:vAlign w:val="bottom"/>
          </w:tcPr>
          <w:p>
            <w:pPr>
              <w:spacing w:after="0"/>
              <w:rPr>
                <w:sz w:val="24"/>
                <w:szCs w:val="24"/>
                <w:color w:val="auto"/>
              </w:rPr>
            </w:pPr>
          </w:p>
        </w:tc>
        <w:tc>
          <w:tcPr>
            <w:tcW w:w="3140" w:type="dxa"/>
            <w:vAlign w:val="bottom"/>
            <w:tcBorders>
              <w:top w:val="single" w:sz="8" w:color="CFF0FC"/>
            </w:tcBorders>
          </w:tcPr>
          <w:p>
            <w:pPr>
              <w:spacing w:after="0"/>
              <w:rPr>
                <w:sz w:val="24"/>
                <w:szCs w:val="24"/>
                <w:color w:val="auto"/>
              </w:rPr>
            </w:pPr>
          </w:p>
        </w:tc>
        <w:tc>
          <w:tcPr>
            <w:tcW w:w="4180" w:type="dxa"/>
            <w:vAlign w:val="bottom"/>
            <w:tcBorders>
              <w:top w:val="single" w:sz="8" w:color="CFF0FC"/>
            </w:tcBorders>
          </w:tcPr>
          <w:p>
            <w:pPr>
              <w:jc w:val="right"/>
              <w:ind w:right="209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-864870</wp:posOffset>
            </wp:positionV>
            <wp:extent cx="1200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-847725</wp:posOffset>
            </wp:positionV>
            <wp:extent cx="1200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difference between the federal statutory rate of 21% and the effective tax rate is due to the following:</w:t>
      </w:r>
    </w:p>
    <w:p>
      <w:pPr>
        <w:spacing w:after="0" w:line="201"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860" w:type="dxa"/>
        <w:tblCellMar>
          <w:top w:w="0" w:type="dxa"/>
          <w:left w:w="0" w:type="dxa"/>
          <w:bottom w:w="0" w:type="dxa"/>
          <w:right w:w="0" w:type="dxa"/>
        </w:tblCellMar>
      </w:tblPr>
      <w:tr>
        <w:trPr>
          <w:trHeight w:val="202"/>
        </w:trPr>
        <w:tc>
          <w:tcPr>
            <w:tcW w:w="6740" w:type="dxa"/>
            <w:vAlign w:val="bottom"/>
            <w:gridSpan w:val="2"/>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20" w:type="dxa"/>
            <w:vAlign w:val="bottom"/>
          </w:tcPr>
          <w:p>
            <w:pPr>
              <w:spacing w:after="0"/>
              <w:rPr>
                <w:sz w:val="18"/>
                <w:szCs w:val="18"/>
                <w:color w:val="auto"/>
              </w:rPr>
            </w:pPr>
          </w:p>
        </w:tc>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at statutory rate</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 and other income tax credits</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146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0" w:type="dxa"/>
            <w:vAlign w:val="bottom"/>
          </w:tcPr>
          <w:p>
            <w:pPr>
              <w:spacing w:after="0"/>
              <w:rPr>
                <w:sz w:val="18"/>
                <w:szCs w:val="18"/>
                <w:color w:val="auto"/>
              </w:rPr>
            </w:pPr>
          </w:p>
        </w:tc>
        <w:tc>
          <w:tcPr>
            <w:tcW w:w="7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Noncontrolling interest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46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Nondeductible stock-based compensation</w:t>
            </w:r>
          </w:p>
        </w:tc>
        <w:tc>
          <w:tcPr>
            <w:tcW w:w="7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w:t>
            </w:r>
          </w:p>
        </w:tc>
      </w:tr>
      <w:tr>
        <w:trPr>
          <w:trHeight w:val="209"/>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2026, the effective rate differed from the statutory rate due primarily to the impact of federal research and development credits, release of federal valuation allowance and state income taxes resulting from state tax credits. For the three months ended March 31, 2025, the effective tax rate differed from the statutory rate due to the impact of state income taxes and noncontrolling interest. The Company's federal income tax returns for the years subsequent to December 31, 2021 remain subject to examination, with the Company's 2022 and 2023 federal income tax returns currently under examination with the United States Internal Revenue Service. The Company's income tax returns in major state income tax jurisdictions remain subject to examination for various periods subsequent to December 31, 2022. The Company believes that its filing positions and deductions will be sustained under audit or the final resolution will not have a material effect on the consolidated financial statements. Therefore, the Company has not established any significant reserves for uncertain tax positions.</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0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holds or has held certain financial assets and liabilities that are required to be measured at fair value. These include cash and cash equivalents held in bank accounts and derivative financial instruments. Fair value is defined as the price that would be received to sell an asset or paid to transfer a liability (an exit price) in the principal or most advantageous market for the asset or liability in an orderly transaction between market participants on the measurement date. A three-level hierarchy is followed for disclosure to show the extent and level of judgment used to estimate fair value measurements:</w:t>
      </w:r>
    </w:p>
    <w:p>
      <w:pPr>
        <w:spacing w:after="0" w:line="75" w:lineRule="exact"/>
        <w:rPr>
          <w:sz w:val="20"/>
          <w:szCs w:val="20"/>
          <w:color w:val="auto"/>
        </w:rPr>
      </w:pPr>
    </w:p>
    <w:p>
      <w:pPr>
        <w:jc w:val="both"/>
        <w:ind w:left="960" w:firstLine="464"/>
        <w:spacing w:after="0" w:line="261" w:lineRule="auto"/>
        <w:rPr>
          <w:sz w:val="20"/>
          <w:szCs w:val="20"/>
          <w:color w:val="auto"/>
        </w:rPr>
      </w:pPr>
      <w:r>
        <w:rPr>
          <w:rFonts w:ascii="Times New Roman" w:cs="Times New Roman" w:eastAsia="Times New Roman" w:hAnsi="Times New Roman"/>
          <w:sz w:val="18"/>
          <w:szCs w:val="18"/>
          <w:color w:val="auto"/>
        </w:rPr>
        <w:t>Level 1 — Inputs used to measure fair value are unadjusted quoted prices that are available in active markets for the identical assets or liabilities as of the reporting date.</w:t>
      </w:r>
    </w:p>
    <w:p>
      <w:pPr>
        <w:jc w:val="both"/>
        <w:ind w:left="960" w:firstLine="464"/>
        <w:spacing w:after="0" w:line="250" w:lineRule="auto"/>
        <w:rPr>
          <w:sz w:val="20"/>
          <w:szCs w:val="20"/>
          <w:color w:val="auto"/>
        </w:rPr>
      </w:pPr>
      <w:r>
        <w:rPr>
          <w:rFonts w:ascii="Times New Roman" w:cs="Times New Roman" w:eastAsia="Times New Roman" w:hAnsi="Times New Roman"/>
          <w:sz w:val="18"/>
          <w:szCs w:val="18"/>
          <w:color w:val="auto"/>
        </w:rPr>
        <w:t>Level 2 — Inputs used to measure fair value, other than quoted prices included in Level 1,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2" w:lineRule="exact"/>
        <w:rPr>
          <w:sz w:val="20"/>
          <w:szCs w:val="20"/>
          <w:color w:val="auto"/>
        </w:rPr>
      </w:pPr>
    </w:p>
    <w:p>
      <w:pPr>
        <w:jc w:val="both"/>
        <w:ind w:left="960" w:firstLine="464"/>
        <w:spacing w:after="0" w:line="255" w:lineRule="auto"/>
        <w:rPr>
          <w:sz w:val="20"/>
          <w:szCs w:val="20"/>
          <w:color w:val="auto"/>
        </w:rPr>
      </w:pPr>
      <w:r>
        <w:rPr>
          <w:rFonts w:ascii="Times New Roman" w:cs="Times New Roman" w:eastAsia="Times New Roman" w:hAnsi="Times New Roman"/>
          <w:sz w:val="18"/>
          <w:szCs w:val="18"/>
          <w:color w:val="auto"/>
        </w:rPr>
        <w:t>Level 3 — Inputs used to measure fair value are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00" w:lineRule="exact"/>
        <w:rPr>
          <w:sz w:val="20"/>
          <w:szCs w:val="20"/>
          <w:color w:val="auto"/>
        </w:rPr>
      </w:pP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Fair Values – Reported</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presents the carrying amounts and the fair values of the Company's financial instruments as of March 31, 2026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99"/>
        </w:trPr>
        <w:tc>
          <w:tcPr>
            <w:tcW w:w="3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80"/>
        </w:trPr>
        <w:tc>
          <w:tcPr>
            <w:tcW w:w="3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53"/>
              <w:spacing w:after="0" w:line="181"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53"/>
              <w:spacing w:after="0" w:line="181"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5"/>
        </w:trPr>
        <w:tc>
          <w:tcPr>
            <w:tcW w:w="3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100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9"/>
        </w:trPr>
        <w:tc>
          <w:tcPr>
            <w:tcW w:w="3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4"/>
          </w:tcPr>
          <w:p>
            <w:pPr>
              <w:jc w:val="right"/>
              <w:ind w:right="553"/>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6"/>
        </w:trPr>
        <w:tc>
          <w:tcPr>
            <w:tcW w:w="354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Commodity-based derivatives </w:t>
            </w:r>
            <w:r>
              <w:rPr>
                <w:rFonts w:ascii="Times New Roman" w:cs="Times New Roman" w:eastAsia="Times New Roman" w:hAnsi="Times New Roman"/>
                <w:sz w:val="24"/>
                <w:szCs w:val="24"/>
                <w:color w:val="auto"/>
                <w:vertAlign w:val="superscript"/>
              </w:rPr>
              <w:t>(1)</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89,236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19,206</w:t>
            </w: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6"/>
        </w:trPr>
        <w:tc>
          <w:tcPr>
            <w:tcW w:w="354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Commodity-based derivatives </w:t>
            </w:r>
            <w:r>
              <w:rPr>
                <w:rFonts w:ascii="Times New Roman" w:cs="Times New Roman" w:eastAsia="Times New Roman" w:hAnsi="Times New Roman"/>
                <w:sz w:val="24"/>
                <w:szCs w:val="24"/>
                <w:color w:val="auto"/>
                <w:vertAlign w:val="superscript"/>
              </w:rPr>
              <w:t>(1)</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14,882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27,636</w:t>
            </w:r>
          </w:p>
        </w:tc>
      </w:tr>
      <w:tr>
        <w:trPr>
          <w:trHeight w:val="216"/>
        </w:trPr>
        <w:tc>
          <w:tcPr>
            <w:tcW w:w="354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Bank credit facilities </w:t>
            </w:r>
            <w:r>
              <w:rPr>
                <w:rFonts w:ascii="Times New Roman" w:cs="Times New Roman" w:eastAsia="Times New Roman" w:hAnsi="Times New Roman"/>
                <w:sz w:val="24"/>
                <w:szCs w:val="24"/>
                <w:color w:val="auto"/>
                <w:vertAlign w:val="superscript"/>
              </w:rPr>
              <w:t>(2)</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397,000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397,000</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260,000</w:t>
            </w:r>
          </w:p>
        </w:tc>
      </w:tr>
      <w:tr>
        <w:trPr>
          <w:trHeight w:val="216"/>
        </w:trPr>
        <w:tc>
          <w:tcPr>
            <w:tcW w:w="354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6.75% senior notes due 2029 </w:t>
            </w:r>
            <w:r>
              <w:rPr>
                <w:rFonts w:ascii="Times New Roman" w:cs="Times New Roman" w:eastAsia="Times New Roman" w:hAnsi="Times New Roman"/>
                <w:sz w:val="24"/>
                <w:szCs w:val="24"/>
                <w:color w:val="auto"/>
                <w:vertAlign w:val="superscript"/>
              </w:rPr>
              <w:t>(3)</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1,608,974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1,593,932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1,607,880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1,603,582</w:t>
            </w:r>
          </w:p>
        </w:tc>
      </w:tr>
      <w:tr>
        <w:trPr>
          <w:trHeight w:val="216"/>
        </w:trPr>
        <w:tc>
          <w:tcPr>
            <w:tcW w:w="354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5.875% senior notes due 2030 </w:t>
            </w:r>
            <w:r>
              <w:rPr>
                <w:rFonts w:ascii="Times New Roman" w:cs="Times New Roman" w:eastAsia="Times New Roman" w:hAnsi="Times New Roman"/>
                <w:sz w:val="24"/>
                <w:szCs w:val="24"/>
                <w:color w:val="auto"/>
                <w:vertAlign w:val="superscript"/>
              </w:rPr>
              <w:t>(3)</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965,000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926,400</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965,000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931,225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85725</wp:posOffset>
            </wp:positionV>
            <wp:extent cx="12084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51" w:lineRule="exact"/>
        <w:rPr>
          <w:sz w:val="20"/>
          <w:szCs w:val="20"/>
          <w:color w:val="auto"/>
        </w:rPr>
      </w:pPr>
    </w:p>
    <w:p>
      <w:pPr>
        <w:ind w:left="1480" w:hanging="379"/>
        <w:spacing w:after="0" w:line="227" w:lineRule="auto"/>
        <w:tabs>
          <w:tab w:leader="none" w:pos="1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commodity-based derivatives are classified as Level 2 and measured at fair value using third party pricing services and other active markets or broker quotes that are readily available in the public markets.</w:t>
      </w:r>
    </w:p>
    <w:p>
      <w:pPr>
        <w:spacing w:after="0" w:line="1" w:lineRule="exact"/>
        <w:rPr>
          <w:rFonts w:ascii="Times New Roman" w:cs="Times New Roman" w:eastAsia="Times New Roman" w:hAnsi="Times New Roman"/>
          <w:sz w:val="13"/>
          <w:szCs w:val="13"/>
          <w:color w:val="auto"/>
        </w:rPr>
      </w:pPr>
    </w:p>
    <w:p>
      <w:pPr>
        <w:ind w:left="1480" w:hanging="379"/>
        <w:spacing w:after="0" w:line="216" w:lineRule="auto"/>
        <w:tabs>
          <w:tab w:leader="none" w:pos="1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carrying value of the Company's floating rate debt outstanding approximates fair value.</w:t>
      </w:r>
    </w:p>
    <w:p>
      <w:pPr>
        <w:ind w:left="1480" w:hanging="379"/>
        <w:spacing w:after="0"/>
        <w:tabs>
          <w:tab w:leader="none" w:pos="1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fair value of the Company's fixed rate debt was based on quoted prices as of March 31, 2026 and December 31, 2025, respectively, a Level 1 measurement.</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Unvested restricted stock containing non-forfeitable rights to dividends are included in common stock outstanding and are considered to be participating securities and included in the computation of basic and diluted earnings per share pursuant to the two-class method. At March 31, 2026 and December 31, 2025, 2,146,303 and 1,957,381 shares of restricted stock, respectively, are included in common stock outstanding as such shares have a non-forfeitable right to participate in any dividends that might be declared and have the right to vote on matters submitted to the Company's stockholders.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Weighted average shares of unvested restricted stock outstanding were as follows:</w:t>
      </w:r>
    </w:p>
    <w:p>
      <w:pPr>
        <w:spacing w:after="0" w:line="228"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2" w:lineRule="exact"/>
        <w:rPr>
          <w:sz w:val="20"/>
          <w:szCs w:val="20"/>
          <w:color w:val="auto"/>
        </w:rPr>
      </w:pPr>
    </w:p>
    <w:p>
      <w:pPr>
        <w:ind w:left="7580"/>
        <w:spacing w:after="0"/>
        <w:tabs>
          <w:tab w:leader="none" w:pos="878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-114935</wp:posOffset>
            </wp:positionV>
            <wp:extent cx="1474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 w:lineRule="exact"/>
        <w:rPr>
          <w:sz w:val="20"/>
          <w:szCs w:val="20"/>
          <w:color w:val="auto"/>
        </w:rPr>
      </w:pPr>
    </w:p>
    <w:tbl>
      <w:tblPr>
        <w:tblLayout w:type="fixed"/>
        <w:tblInd w:w="1700" w:type="dxa"/>
        <w:tblCellMar>
          <w:top w:w="0" w:type="dxa"/>
          <w:left w:w="0" w:type="dxa"/>
          <w:bottom w:w="0" w:type="dxa"/>
          <w:right w:w="0" w:type="dxa"/>
        </w:tblCellMar>
      </w:tblPr>
      <w:tr>
        <w:trPr>
          <w:trHeight w:val="20"/>
        </w:trPr>
        <w:tc>
          <w:tcPr>
            <w:tcW w:w="5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182"/>
        </w:trPr>
        <w:tc>
          <w:tcPr>
            <w:tcW w:w="5540" w:type="dxa"/>
            <w:vAlign w:val="bottom"/>
          </w:tcPr>
          <w:p>
            <w:pPr>
              <w:spacing w:after="0"/>
              <w:rPr>
                <w:sz w:val="15"/>
                <w:szCs w:val="15"/>
                <w:color w:val="auto"/>
              </w:rPr>
            </w:pPr>
          </w:p>
        </w:tc>
        <w:tc>
          <w:tcPr>
            <w:tcW w:w="1700" w:type="dxa"/>
            <w:vAlign w:val="bottom"/>
            <w:gridSpan w:val="3"/>
          </w:tcPr>
          <w:p>
            <w:pPr>
              <w:ind w:left="640"/>
              <w:spacing w:after="0" w:line="182"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620" w:type="dxa"/>
            <w:vAlign w:val="bottom"/>
          </w:tcPr>
          <w:p>
            <w:pPr>
              <w:spacing w:after="0"/>
              <w:rPr>
                <w:sz w:val="15"/>
                <w:szCs w:val="15"/>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2,319</w:t>
            </w:r>
          </w:p>
        </w:tc>
      </w:tr>
    </w:tbl>
    <w:p>
      <w:pPr>
        <w:spacing w:after="0" w:line="19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PSUs represent the right to receive a number of shares of the Company's common stock that may range from zero to up to two times the number of PSUs granted on the award date based on the achievement of certain performance measures during a performance period. The number of potentially dilutive shares related to PSUs is based on the number of shares, if any, which would be issuable at the end of the respective period, assuming that date was the end of the performance period. The treasury stock method is used to measure the dilutive effect of PSUs.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Weighted average unearned PSUs outstanding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160" w:type="dxa"/>
            <w:vAlign w:val="bottom"/>
            <w:gridSpan w:val="5"/>
          </w:tcPr>
          <w:p>
            <w:pPr>
              <w:jc w:val="center"/>
              <w:ind w:right="170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1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Borders>
              <w:bottom w:val="single" w:sz="8" w:color="auto"/>
            </w:tcBorders>
            <w:gridSpan w:val="3"/>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820" w:type="dxa"/>
            <w:vAlign w:val="bottom"/>
            <w:tcBorders>
              <w:bottom w:val="single" w:sz="8" w:color="auto"/>
            </w:tcBorders>
          </w:tcPr>
          <w:p>
            <w:pPr>
              <w:spacing w:after="0"/>
              <w:rPr>
                <w:sz w:val="18"/>
                <w:szCs w:val="18"/>
                <w:color w:val="auto"/>
              </w:rPr>
            </w:pPr>
          </w:p>
        </w:tc>
        <w:tc>
          <w:tcPr>
            <w:tcW w:w="1680" w:type="dxa"/>
            <w:vAlign w:val="bottom"/>
          </w:tcPr>
          <w:p>
            <w:pPr>
              <w:spacing w:after="0"/>
              <w:rPr>
                <w:sz w:val="18"/>
                <w:szCs w:val="18"/>
                <w:color w:val="auto"/>
              </w:rPr>
            </w:pPr>
          </w:p>
        </w:tc>
      </w:tr>
      <w:tr>
        <w:trPr>
          <w:trHeight w:val="202"/>
        </w:trPr>
        <w:tc>
          <w:tcPr>
            <w:tcW w:w="17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80" w:type="dxa"/>
            <w:vAlign w:val="bottom"/>
          </w:tcPr>
          <w:p>
            <w:pPr>
              <w:spacing w:after="0"/>
              <w:rPr>
                <w:sz w:val="17"/>
                <w:szCs w:val="17"/>
                <w:color w:val="auto"/>
              </w:rPr>
            </w:pPr>
          </w:p>
        </w:tc>
      </w:tr>
      <w:tr>
        <w:trPr>
          <w:trHeight w:val="180"/>
        </w:trPr>
        <w:tc>
          <w:tcPr>
            <w:tcW w:w="17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5"/>
                <w:szCs w:val="15"/>
                <w:color w:val="auto"/>
              </w:rPr>
            </w:pPr>
          </w:p>
        </w:tc>
        <w:tc>
          <w:tcPr>
            <w:tcW w:w="1180" w:type="dxa"/>
            <w:vAlign w:val="bottom"/>
            <w:gridSpan w:val="2"/>
          </w:tcPr>
          <w:p>
            <w:pPr>
              <w:jc w:val="right"/>
              <w:ind w:right="213"/>
              <w:spacing w:after="0" w:line="181" w:lineRule="exact"/>
              <w:rPr>
                <w:sz w:val="20"/>
                <w:szCs w:val="20"/>
                <w:color w:val="auto"/>
              </w:rPr>
            </w:pPr>
            <w:r>
              <w:rPr>
                <w:rFonts w:ascii="Times New Roman" w:cs="Times New Roman" w:eastAsia="Times New Roman" w:hAnsi="Times New Roman"/>
                <w:sz w:val="16"/>
                <w:szCs w:val="16"/>
                <w:i w:val="1"/>
                <w:iCs w:val="1"/>
                <w:color w:val="auto"/>
                <w:w w:val="90"/>
              </w:rPr>
              <w:t>except per unit</w:t>
            </w:r>
          </w:p>
        </w:tc>
        <w:tc>
          <w:tcPr>
            <w:tcW w:w="1680" w:type="dxa"/>
            <w:vAlign w:val="bottom"/>
          </w:tcPr>
          <w:p>
            <w:pPr>
              <w:spacing w:after="0"/>
              <w:rPr>
                <w:sz w:val="15"/>
                <w:szCs w:val="15"/>
                <w:color w:val="auto"/>
              </w:rPr>
            </w:pPr>
          </w:p>
        </w:tc>
      </w:tr>
      <w:tr>
        <w:trPr>
          <w:trHeight w:val="212"/>
        </w:trPr>
        <w:tc>
          <w:tcPr>
            <w:tcW w:w="1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gridSpan w:val="3"/>
          </w:tcPr>
          <w:p>
            <w:pPr>
              <w:jc w:val="center"/>
              <w:ind w:left="719"/>
              <w:spacing w:after="0"/>
              <w:rPr>
                <w:sz w:val="20"/>
                <w:szCs w:val="20"/>
                <w:color w:val="auto"/>
              </w:rPr>
            </w:pPr>
            <w:r>
              <w:rPr>
                <w:rFonts w:ascii="Times New Roman" w:cs="Times New Roman" w:eastAsia="Times New Roman" w:hAnsi="Times New Roman"/>
                <w:sz w:val="16"/>
                <w:szCs w:val="16"/>
                <w:i w:val="1"/>
                <w:iCs w:val="1"/>
                <w:color w:val="auto"/>
              </w:rPr>
              <w:t>amounts)</w:t>
            </w: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2"/>
        </w:trPr>
        <w:tc>
          <w:tcPr>
            <w:tcW w:w="170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PSUs</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680" w:type="dxa"/>
            <w:vAlign w:val="bottom"/>
          </w:tcPr>
          <w:p>
            <w:pPr>
              <w:spacing w:after="0"/>
              <w:rPr>
                <w:sz w:val="19"/>
                <w:szCs w:val="19"/>
                <w:color w:val="auto"/>
              </w:rPr>
            </w:pPr>
          </w:p>
        </w:tc>
      </w:tr>
      <w:tr>
        <w:trPr>
          <w:trHeight w:val="234"/>
        </w:trPr>
        <w:tc>
          <w:tcPr>
            <w:tcW w:w="170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unit</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680" w:type="dxa"/>
            <w:vAlign w:val="bottom"/>
          </w:tcPr>
          <w:p>
            <w:pPr>
              <w:spacing w:after="0"/>
              <w:rPr>
                <w:sz w:val="20"/>
                <w:szCs w:val="20"/>
                <w:color w:val="auto"/>
              </w:rPr>
            </w:pPr>
          </w:p>
        </w:tc>
      </w:tr>
      <w:tr>
        <w:trPr>
          <w:trHeight w:val="522"/>
        </w:trPr>
        <w:tc>
          <w:tcPr>
            <w:tcW w:w="1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16</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Basic and diluted loss per share for the three months ended March 31, 2026 and 2025 were determined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99"/>
        </w:trPr>
        <w:tc>
          <w:tcPr>
            <w:tcW w:w="4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6"/>
        </w:trPr>
        <w:tc>
          <w:tcPr>
            <w:tcW w:w="4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9"/>
              </w:rPr>
              <w:t>Per Share</w:t>
            </w:r>
          </w:p>
        </w:tc>
      </w:tr>
      <w:tr>
        <w:trPr>
          <w:trHeight w:val="196"/>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6"/>
                <w:szCs w:val="16"/>
                <w:i w:val="1"/>
                <w:iCs w:val="1"/>
                <w:color w:val="auto"/>
              </w:rPr>
              <w:t>(In</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4"/>
              </w:rPr>
              <w:t>thousands, except</w:t>
            </w: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6"/>
                <w:szCs w:val="16"/>
                <w:i w:val="1"/>
                <w:iCs w:val="1"/>
                <w:color w:val="auto"/>
              </w:rPr>
              <w:t>per share amounts)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112,499</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(115,393)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Income allocable to unvested restricted stock</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income (loss) attributable to common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111,638</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291,317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(115,393)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290,303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4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income (loss) attributable to 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111,638</w:t>
            </w:r>
          </w:p>
        </w:tc>
        <w:tc>
          <w:tcPr>
            <w:tcW w:w="1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291,317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(115,393)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290,303</w:t>
            </w: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(0.40)</w:t>
            </w: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-187960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-170815</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-187960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-187960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-187960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-170815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None of the Company's participating securities participate in losses and as such are excluded from the computation of basic earnings per share during periods of net losses.</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Supplementary Information with Respect to the Consolidated Statements of Cash Flows</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Cash payments made for interest and income taxes and other non-cash investing activities for the three months ended March 31, 2026 and 2025, respectively, were as follows:</w:t>
      </w:r>
    </w:p>
    <w:p>
      <w:pPr>
        <w:spacing w:after="0" w:line="164" w:lineRule="exact"/>
        <w:rPr>
          <w:sz w:val="20"/>
          <w:szCs w:val="20"/>
          <w:color w:val="auto"/>
        </w:rPr>
      </w:pPr>
    </w:p>
    <w:tbl>
      <w:tblPr>
        <w:tblLayout w:type="fixed"/>
        <w:tblInd w:w="158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4"/>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5"/>
        </w:trPr>
        <w:tc>
          <w:tcPr>
            <w:tcW w:w="4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15"/>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840" w:type="dxa"/>
            <w:vAlign w:val="bottom"/>
            <w:tcBorders>
              <w:bottom w:val="single" w:sz="8" w:color="auto"/>
            </w:tcBorders>
          </w:tcPr>
          <w:p>
            <w:pPr>
              <w:spacing w:after="0"/>
              <w:rPr>
                <w:sz w:val="18"/>
                <w:szCs w:val="18"/>
                <w:color w:val="auto"/>
              </w:rPr>
            </w:pPr>
          </w:p>
        </w:tc>
      </w:tr>
      <w:tr>
        <w:trPr>
          <w:trHeight w:val="199"/>
        </w:trPr>
        <w:tc>
          <w:tcPr>
            <w:tcW w:w="4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196"/>
        </w:trPr>
        <w:tc>
          <w:tcPr>
            <w:tcW w:w="4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center"/>
              <w:ind w:left="415"/>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40" w:type="dxa"/>
            <w:vAlign w:val="bottom"/>
          </w:tcPr>
          <w:p>
            <w:pPr>
              <w:spacing w:after="0"/>
              <w:rPr>
                <w:sz w:val="17"/>
                <w:szCs w:val="17"/>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payments for:</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payments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91,972</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93,887</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 include:</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accrued capital expenditures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10,202</w:t>
            </w: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Liabilities assumed in exchange for right-of-use lease assets</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34,603</w:t>
            </w:r>
          </w:p>
        </w:tc>
      </w:tr>
    </w:tbl>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ASU 2024-03 requires additional disclosure, in the notes to the financial statements, of specified information about certain costs and expenses, including purchases of inventory, employee compensation, depreciation, intangible asset amortization and depreciation, depletion and amortization recognized as part of oil and gas-producing activities included in each relevant expense caption. ASU 2024-03 is effective for annual reporting periods beginning after December 15, 2026 and interim reporting periods beginning after December 15, 2027 and will not have an impact on the Company's reported results of operations, financial position or liquidity. The Company is still evaluating the impact of this standard on its financial statement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LONG-TERM DEBT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March 31, 2026, long-term debt was comprised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6.75% Senior Notes due 2029:</w:t>
            </w:r>
          </w:p>
        </w:tc>
        <w:tc>
          <w:tcPr>
            <w:tcW w:w="2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1,623,880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Discount, net of amortization</w:t>
            </w:r>
          </w:p>
        </w:tc>
        <w:tc>
          <w:tcPr>
            <w:tcW w:w="2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5.875% Senior Notes due 2030:</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Principal</w:t>
            </w:r>
          </w:p>
        </w:tc>
        <w:tc>
          <w:tcPr>
            <w:tcW w:w="2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965,000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Bank Credit Facilities: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Comstock Principal</w:t>
            </w:r>
          </w:p>
        </w:tc>
        <w:tc>
          <w:tcPr>
            <w:tcW w:w="2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350,000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PGS Principal</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47,000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 net of amortization</w:t>
            </w:r>
          </w:p>
        </w:tc>
        <w:tc>
          <w:tcPr>
            <w:tcW w:w="24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(23,367)</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2,947,607</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40" w:type="dxa"/>
            <w:vAlign w:val="bottom"/>
            <w:vMerge w:val="restart"/>
          </w:tcPr>
          <w:p>
            <w:pPr>
              <w:jc w:val="right"/>
              <w:ind w:right="195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00" w:lineRule="exact"/>
        <w:rPr>
          <w:sz w:val="20"/>
          <w:szCs w:val="20"/>
          <w:color w:val="auto"/>
        </w:rPr>
      </w:pP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Comstock Bank Credit Facility</w:t>
      </w:r>
    </w:p>
    <w:p>
      <w:pPr>
        <w:spacing w:after="0" w:line="20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As of March 31, 2026, Comstock had $350.0 million outstanding under a bank credit facility. Aggregate commitments under the bank credit facility are $1.5 billion, which matures on November 15, 2027. Borrowings under the bank credit facility are subject to a borrowing base that is currently set at $2.0 billion. The borrowing base is re-determined on a semi-annual basis and upon the occurrence of certain other events. Borrowings under the bank credit facility are secured by substantially all of the assets of the Company and its subsidiaries, except for PGS, and bear interest at the Company's option, at either adjusted SOFR plus 2.25% to 3.25% or an alternate base rate plus 1.25% to 2.25%, in each case depending on the utilization of the borrowing base. The Company also pays a commitment fee of 0.375% to 0.5%, which is dependent on the utilization of the borrowing base. The bank credit facility places certain restrictions upon the Company's and its subsidiaries' ability to, among other things, incur additional indebtedness, pay cash dividends, repurchase common stock, make certain loans, investments and divestitures and redeem the senior notes. The only financial covenants are the maintenance of a leverage ratio of less than 3.5 to 1.0 and an adjusted current ratio of at least 1.0 to 1.0. The Company was in compliance with the covenants as of March 31, 2026.</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PGS Bank Credit Facility</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of March 31, 2026, PGS had $47.0 million outstanding under a bank credit facility. Aggregate commitments under the bank credit facility are $150 million, which matures on March 26, 2030. Borrowings under the bank credit facility bear interest at PGS's option, at either SOFR plus 2.5% to 3.5% or an alternate base rate plus 1.5% to 2.5%, in each case depending on a consolidated net leverage ratio. PGS also pays a commitment fee of 0.375% to 0.5%, which is dependent on the consolidated net leverage ratio. This bank credit facility contains financial covenants that require the maintenance of an interest coverage ratio of at least 2.5 to 1.0 and a consolidated net leverage ratio of less than 4.0 to 1.0.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COMMITMENTS AND CONTINGENCIES</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October 2025, the Company entered into an agreement for one new drilling rig, with a pad to pad contract term. Comstock took delivery of this rig in January 2026. Remaining commitments for drilling rigs on pad to pad agreements total $6.1 million as of March 31, 2026.</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involved in certain litigation that arises in the normal course of its operations. The Company records a loss contingency for these matters when it is probable that a liability has been incurred and the amount of the loss can be reasonably estimated. The Company does not believe the resolution of these matters will have a material effect on the Company's financial position, results of operations or cash flows and no material amounts are accrued relative to these matters at March 31, 2026 or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RELATED PARTY TRANSACTIONS</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Comstock operates natural gas and oil properties held by partnerships owned by its majority stockholder. The Company charges the partnerships for the costs incurred to drill, complete and produce wells, as well as drilling and operating overhead fees. Comstock also provides natural gas marketing services to the partnerships, including evaluating potential markets and providing hedging services, in return for a fee equal to $0.02 per Mcf for natural gas marketed. The Company received $239 thousand and $339 thousand for the three months ended March 31, 2026 and 2025, respectively, for drilling, operating and marketing services provided to the partnerships. The fees received for the services are reflected as a reduction of general and administrative expenses in the accompanying consolidated statements of operations.</w:t>
      </w:r>
    </w:p>
    <w:p>
      <w:pPr>
        <w:spacing w:after="0" w:line="147"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operation of the wells, the Company had a $2.3 million and $3.6 million receivable from the partnerships at March 31, 2026 and December 31, 2025, respectively.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risks, uncertainties and assumptions that are made pursuant to the safe harbor provisions of the Private Securities Litigation Reform Act of 1995 including those described under the heading "Risk Factors" in our Annual Report on Form 10-K for the year ended December 31, 2025 (the "Annual Report"). All statements other than statements of historic facts contained, or incorporated by reference, in this report, may be forward-looking statements. Actual results may differ materially from those anticipated in our forward-looking statements due to many factors. Such forward-looking statements are based on management's current expectations and are subject to a number of factors and uncertainties which could cause actual results to differ materially from those described herein. Although the we believe the expectations in such statements to be reasonable, there can be no assurance that such expectations will prove to be correct. You are cautioned not to place undue reliance on the forward-looking statements included in this report, which speak only as of the date made. We expressly disclaim any obligation or undertaking to release publicly any updates or revisions to any forward-looking statement to reflect any change in our expectations with regard thereto or any change of events, conditions or circumstances on which any such statement was based, except as required by law. The following discussion should be read in conjunction with the consolidated financial statements and notes thereto included in this report and in our Annual Report as well as with the Risk Factors contained in our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1" w:lineRule="exact"/>
        <w:rPr>
          <w:sz w:val="20"/>
          <w:szCs w:val="20"/>
          <w:color w:val="auto"/>
        </w:rPr>
      </w:pPr>
    </w:p>
    <w:tbl>
      <w:tblPr>
        <w:tblLayout w:type="fixed"/>
        <w:tblInd w:w="226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gridSpan w:val="4"/>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5"/>
        </w:trPr>
        <w:tc>
          <w:tcPr>
            <w:tcW w:w="3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left="51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Borders>
              <w:bottom w:val="single" w:sz="8" w:color="auto"/>
            </w:tcBorders>
          </w:tcPr>
          <w:p>
            <w:pPr>
              <w:spacing w:after="0"/>
              <w:rPr>
                <w:sz w:val="18"/>
                <w:szCs w:val="18"/>
                <w:color w:val="auto"/>
              </w:rPr>
            </w:pPr>
          </w:p>
        </w:tc>
      </w:tr>
      <w:tr>
        <w:trPr>
          <w:trHeight w:val="199"/>
        </w:trPr>
        <w:tc>
          <w:tcPr>
            <w:tcW w:w="3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80"/>
        </w:trPr>
        <w:tc>
          <w:tcPr>
            <w:tcW w:w="3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1200" w:type="dxa"/>
            <w:vAlign w:val="bottom"/>
            <w:gridSpan w:val="3"/>
          </w:tcPr>
          <w:p>
            <w:pPr>
              <w:jc w:val="right"/>
              <w:ind w:right="150"/>
              <w:spacing w:after="0" w:line="181" w:lineRule="exact"/>
              <w:rPr>
                <w:sz w:val="20"/>
                <w:szCs w:val="20"/>
                <w:color w:val="auto"/>
              </w:rPr>
            </w:pPr>
            <w:r>
              <w:rPr>
                <w:rFonts w:ascii="Times New Roman" w:cs="Times New Roman" w:eastAsia="Times New Roman" w:hAnsi="Times New Roman"/>
                <w:sz w:val="16"/>
                <w:szCs w:val="16"/>
                <w:i w:val="1"/>
                <w:iCs w:val="1"/>
                <w:color w:val="auto"/>
                <w:w w:val="98"/>
              </w:rPr>
              <w:t>except per unit</w:t>
            </w:r>
          </w:p>
        </w:tc>
      </w:tr>
      <w:tr>
        <w:trPr>
          <w:trHeight w:val="212"/>
        </w:trPr>
        <w:tc>
          <w:tcPr>
            <w:tcW w:w="3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ind w:left="512"/>
              <w:spacing w:after="0"/>
              <w:rPr>
                <w:sz w:val="20"/>
                <w:szCs w:val="20"/>
                <w:color w:val="auto"/>
              </w:rPr>
            </w:pPr>
            <w:r>
              <w:rPr>
                <w:rFonts w:ascii="Times New Roman" w:cs="Times New Roman" w:eastAsia="Times New Roman" w:hAnsi="Times New Roman"/>
                <w:sz w:val="16"/>
                <w:szCs w:val="16"/>
                <w:i w:val="1"/>
                <w:iCs w:val="1"/>
                <w:color w:val="auto"/>
              </w:rPr>
              <w:t>amounts)</w:t>
            </w:r>
          </w:p>
        </w:tc>
        <w:tc>
          <w:tcPr>
            <w:tcW w:w="780" w:type="dxa"/>
            <w:vAlign w:val="bottom"/>
          </w:tcPr>
          <w:p>
            <w:pPr>
              <w:spacing w:after="0"/>
              <w:rPr>
                <w:sz w:val="18"/>
                <w:szCs w:val="18"/>
                <w:color w:val="auto"/>
              </w:rPr>
            </w:pPr>
          </w:p>
        </w:tc>
      </w:tr>
      <w:tr>
        <w:trPr>
          <w:trHeight w:val="20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Production Data:</w:t>
            </w: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6"/>
        </w:trPr>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Natural gas (MMcf)</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115,029</w:t>
            </w:r>
          </w:p>
        </w:tc>
      </w:tr>
      <w:tr>
        <w:trPr>
          <w:trHeight w:val="216"/>
        </w:trPr>
        <w:tc>
          <w:tcPr>
            <w:tcW w:w="3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Oil (MBbls)</w:t>
            </w: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Natural gas equivalent (MMcfe)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115,091</w:t>
            </w: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6"/>
        </w:trPr>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Natural gas sales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418,275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412,286</w:t>
            </w:r>
          </w:p>
        </w:tc>
      </w:tr>
      <w:tr>
        <w:trPr>
          <w:trHeight w:val="216"/>
        </w:trPr>
        <w:tc>
          <w:tcPr>
            <w:tcW w:w="34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Oil sales</w:t>
            </w:r>
          </w:p>
        </w:tc>
        <w:tc>
          <w:tcPr>
            <w:tcW w:w="10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09"/>
        </w:trPr>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natural gas and oil sales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419,033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412,988</w:t>
            </w: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6"/>
        </w:trPr>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w:t>
            </w:r>
          </w:p>
        </w:tc>
      </w:tr>
      <w:tr>
        <w:trPr>
          <w:trHeight w:val="216"/>
        </w:trPr>
        <w:tc>
          <w:tcPr>
            <w:tcW w:w="3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Gathering and transportation</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41,804</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42,617</w:t>
            </w:r>
          </w:p>
        </w:tc>
      </w:tr>
      <w:tr>
        <w:trPr>
          <w:trHeight w:val="216"/>
        </w:trPr>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operating</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3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Exploration</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Sales Price: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Natural gas (per Mcf)</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Oil (per Bbl)</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w:t>
            </w:r>
          </w:p>
        </w:tc>
      </w:tr>
      <w:tr>
        <w:trPr>
          <w:trHeight w:val="216"/>
        </w:trPr>
        <w:tc>
          <w:tcPr>
            <w:tcW w:w="3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Average equivalent (Mcfe)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 ($ per Mcfe):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Gathering and transportation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3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Lease operating</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 Services: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Gas services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166,501</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99,866</w:t>
            </w:r>
          </w:p>
        </w:tc>
      </w:tr>
      <w:tr>
        <w:trPr>
          <w:trHeight w:val="234"/>
        </w:trPr>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Gas services expense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162,856</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-2351405</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w:t>
      </w:r>
    </w:p>
    <w:p>
      <w:pPr>
        <w:spacing w:after="0" w:line="20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Natural gas and oil sales of $419.0 million for the three months ended March 31, 2026 increased by $6.0 million (1%) as compared to $413.0 million for the first quarter of 2025. The increase was due to higher natural gas prices realized in the first quarter of 2026 as compared to the same period in 2025. The average realized price for our natural gas was $4.27 per thousand cubic feet ("Mcf"), which increased 19% from the average realized natural gas price in the first quarter of 2025. Our natural gas production for the first quarter of 2026 decreased 15% to 97.9 billion cubic feet ("Bcf") (1.1 Bcf per day). Natural gas production for the first quarter of 2025 was 115.0 Bcf (1.3 Bcf per day) and was sold at an average price of $3.58 per Mcf.</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00" w:lineRule="exact"/>
        <w:rPr>
          <w:sz w:val="20"/>
          <w:szCs w:val="20"/>
          <w:color w:val="auto"/>
        </w:rPr>
      </w:pPr>
    </w:p>
    <w:p>
      <w:pPr>
        <w:spacing w:after="0" w:line="20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utilize natural gas price derivative financial instruments to manage our exposure to changes in prices of natural gas and to protect returns on investment from our drilling activities. The following table presents our natural gas prices before and after the effect of cash settlements of our derivative financial instruments:</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1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r>
      <w:tr>
        <w:trPr>
          <w:trHeight w:val="215"/>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31,</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89"/>
        </w:trPr>
        <w:tc>
          <w:tcPr>
            <w:tcW w:w="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Average Realized Natural Gas Price:</w:t>
            </w:r>
          </w:p>
        </w:tc>
        <w:tc>
          <w:tcPr>
            <w:tcW w:w="40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Natural gas, per Mcf</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settlements on derivative financial instruments, per Mcf</w:t>
            </w: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10"/>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Price per Mcf, including cash settlements on derivative financial instruments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3.52</w:t>
            </w: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1117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Gas service revenues of $166.5 million increased $66.6 million (67%) for the first quarter of 2026 from $99.9 million in the first quarter of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were primarily due to higher natural gas prices related to sales of natural gas purchased to utilize our excess transport capacity.</w:t>
      </w:r>
    </w:p>
    <w:p>
      <w:pPr>
        <w:spacing w:after="0" w:line="16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reported a gain on sale of assets of $1.8 million for the first quarter of 2026, which was primarily due to post-closing adjustments related to the divestiture of our Shelby Trough properties in East Texas during the fourth quarter of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 –</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Our production and ad valorem taxes decreased $0.8 million (7%) to $10.4 million for the first quarter of 2026 from $11.2 million in the first quarter of 2025. The decrease was primarily due to lower production in the first quarter of 2026.</w:t>
      </w:r>
    </w:p>
    <w:p>
      <w:pPr>
        <w:spacing w:after="0" w:line="121"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Gathering and transportation costs for the first quarter of 2026 decreased $0.8 million (2%) to $41.8 million as compared to $42.6 million in the first quarter of 2025. The decrease was due primarily to lower production.</w:t>
      </w:r>
    </w:p>
    <w:p>
      <w:pPr>
        <w:spacing w:after="0" w:line="13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lease operating expense of $28.3 million ($0.29 per Mcfe) for the first quarter of 2026 decreased $6.7 million (19%) as compared to our lease operating expense of $35.0 million ($0.30 per Mcfe) for the first quarter of 2025. The decrease was due to lower production in the first three months of 2026.</w:t>
      </w:r>
    </w:p>
    <w:p>
      <w:pPr>
        <w:spacing w:after="0" w:line="13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Gas service expenses of $162.9 million increased $46.1 million (39%) for the first quarter of 2026 from $116.8 million in the first quarter of 2025. The increase was primarily due to higher natural gas prices related to purchases of third party natural gas for resale.</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Depreciation, depletion and amortization ("DD&amp;A") decreased $26.4 million to $141.5 million in the first quarter of 2026 from $167.9 million in the first quarter of 2025 due to lower natural gas production in the first quarter of 2026. Our DD&amp;A per equivalent Mcf produced was $1.45 per Mcfe for the quarter ended March 31, 2026 which was comparable to $1.46 for the quarter ended March 31, 2025.</w:t>
      </w:r>
    </w:p>
    <w:p>
      <w:pPr>
        <w:spacing w:after="0" w:line="14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which are reported net of overhead reimbursements, increased to $18.2 million for the first quarter of 2026 as compared to $11.1 million in the first quarter of 2025. The increase was primarily due to higher employee compensation, including stock-based compensation, which increased to $7.4 million in the first quarter of 2026 as compared to $4.4 million in the first quarter of 2025.</w:t>
      </w:r>
    </w:p>
    <w:p>
      <w:pPr>
        <w:spacing w:after="0" w:line="1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use derivative financial instruments as part of our price risk management program to protect our capital investments. During the quarter ended March 31, 2026, we had net gains related to our derivative financial instruments of $2.4 million, as compared to net losses on derivative financial instruments of $330.3 million during the quarter ended March 31, 2025, resulting from the decline in future natural gas prices since December 31, 2025. Realized net losses from our price risk management program were $80.4 million for the quarter ended March 31, 2026 as compared to realized net losses of $8.0 million for the quarter ended March 31, 2025.</w:t>
      </w:r>
    </w:p>
    <w:p>
      <w:pPr>
        <w:spacing w:after="0" w:line="143"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Interest expense was $53.1 million and $54.8 million for the quarters ended March 31, 2026 and 2025, respectively. The decrease in interest expense was due primarily to decreased borrowings on our bank credit facility.</w:t>
      </w:r>
    </w:p>
    <w:p>
      <w:pPr>
        <w:spacing w:after="0" w:line="13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Exploration expense was $9.3 million for the first quarter of 2026 as compared to $2.2 million for the first quarter of 2025, which was related to the acquisition of seismic data in our Western Haynesville area.</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00" w:lineRule="exact"/>
        <w:rPr>
          <w:sz w:val="20"/>
          <w:szCs w:val="20"/>
          <w:color w:val="auto"/>
        </w:rPr>
      </w:pPr>
    </w:p>
    <w:p>
      <w:pPr>
        <w:spacing w:after="0" w:line="20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Income taxes for the quarters ended March 31, 2026 and 2025 were a provision of $12.0 million and a benefit of $143.3 million, respectively. Income taxes for the quarters ended March 31, 2026 and 2025 reflect an effective tax rate of 9.6% and 55.4%, respectively. The difference between the federal statutory tax rate of 21% and our effective rate is primarily attributable to research and development and other tax credits, release of valuation allowance on deferred tax assets, state income taxes, changes in certain nondeductible items and the income attributable to noncontrolling interest.</w:t>
      </w:r>
    </w:p>
    <w:p>
      <w:pPr>
        <w:spacing w:after="0" w:line="15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reported net income of $112.5 million, or $0.38 per share for the quarter ended March 31, 2026. Income from operations for the first quarter of 2026 was $174.9 million as compared to income from operations of $126.2 million for the first quarter of 2025. We reported a net loss of $115.4 million or $0.40 per share for the quarter ended March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Liquidity and Capital Resources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sources and uses of cash and cash equivalents:</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4"/>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5"/>
        </w:trPr>
        <w:tc>
          <w:tcPr>
            <w:tcW w:w="5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1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r>
      <w:tr>
        <w:trPr>
          <w:trHeight w:val="199"/>
        </w:trPr>
        <w:tc>
          <w:tcPr>
            <w:tcW w:w="5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196"/>
        </w:trPr>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center"/>
              <w:ind w:left="393"/>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20" w:type="dxa"/>
            <w:vAlign w:val="bottom"/>
          </w:tcPr>
          <w:p>
            <w:pPr>
              <w:spacing w:after="0"/>
              <w:rPr>
                <w:sz w:val="17"/>
                <w:szCs w:val="17"/>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Sources of cash and cash equivalents: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271,965</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174,746</w:t>
            </w: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Borrowings on bank credit facilities, net of repayments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95,000</w:t>
            </w: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Contributions from noncontrolling interest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59,500</w:t>
            </w:r>
          </w:p>
        </w:tc>
      </w:tr>
      <w:tr>
        <w:trPr>
          <w:trHeight w:val="216"/>
        </w:trPr>
        <w:tc>
          <w:tcPr>
            <w:tcW w:w="5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Proceeds from asset sales</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410,785</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329,246</w:t>
            </w:r>
          </w:p>
        </w:tc>
      </w:tr>
      <w:tr>
        <w:trPr>
          <w:trHeight w:val="20"/>
        </w:trPr>
        <w:tc>
          <w:tcPr>
            <w:tcW w:w="5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3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Uses of cash and cash equivalents:</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404,948</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298,261</w:t>
            </w: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withholdings on equity awards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r>
      <w:tr>
        <w:trPr>
          <w:trHeight w:val="216"/>
        </w:trPr>
        <w:tc>
          <w:tcPr>
            <w:tcW w:w="5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Debt and stock issuance costs</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419,930</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303,170</w:t>
            </w:r>
          </w:p>
        </w:tc>
      </w:tr>
      <w:tr>
        <w:trPr>
          <w:trHeight w:val="20"/>
        </w:trPr>
        <w:tc>
          <w:tcPr>
            <w:tcW w:w="5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-1028065</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5" w:lineRule="exact"/>
        <w:rPr>
          <w:sz w:val="20"/>
          <w:szCs w:val="20"/>
          <w:color w:val="auto"/>
        </w:rPr>
      </w:pPr>
    </w:p>
    <w:p>
      <w:pPr>
        <w:ind w:right="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Net cash provided by our operating activities increased $97.2 million (56%) to $272.0 million 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of 2026 from $174.7 million in the same period in 2025. The increase was due primarily to higher natural gas prices.</w:t>
      </w:r>
    </w:p>
    <w:p>
      <w:pPr>
        <w:spacing w:after="0" w:line="131"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Contributions from noncontrolling interest. </w:t>
      </w:r>
      <w:r>
        <w:rPr>
          <w:rFonts w:ascii="Times New Roman" w:cs="Times New Roman" w:eastAsia="Times New Roman" w:hAnsi="Times New Roman"/>
          <w:sz w:val="18"/>
          <w:szCs w:val="18"/>
          <w:color w:val="auto"/>
        </w:rPr>
        <w:t>During the first three months of 2025, our noncontrolling interest partner contributed $59.5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midstream partnership to fund the build-out of our Western Haynesville midstream system.</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tbl>
      <w:tblPr>
        <w:tblLayout w:type="fixed"/>
        <w:tblInd w:w="76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614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COMSTOCK RESOURCES, INC.</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60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Our capital expenditures are summarized in the following table:</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6"/>
        </w:trPr>
        <w:tc>
          <w:tcPr>
            <w:tcW w:w="6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5"/>
        </w:trPr>
        <w:tc>
          <w:tcPr>
            <w:tcW w:w="6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39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Borders>
              <w:bottom w:val="single" w:sz="8" w:color="auto"/>
            </w:tcBorders>
          </w:tcPr>
          <w:p>
            <w:pPr>
              <w:spacing w:after="0"/>
              <w:rPr>
                <w:sz w:val="18"/>
                <w:szCs w:val="18"/>
                <w:color w:val="auto"/>
              </w:rPr>
            </w:pPr>
          </w:p>
        </w:tc>
      </w:tr>
      <w:tr>
        <w:trPr>
          <w:trHeight w:val="199"/>
        </w:trPr>
        <w:tc>
          <w:tcPr>
            <w:tcW w:w="66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66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4"/>
          </w:tcPr>
          <w:p>
            <w:pPr>
              <w:jc w:val="center"/>
              <w:ind w:right="231"/>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16"/>
        </w:trPr>
        <w:tc>
          <w:tcPr>
            <w:tcW w:w="66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Unproved property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19,040</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9,684</w:t>
            </w:r>
          </w:p>
        </w:tc>
      </w:tr>
      <w:tr>
        <w:trPr>
          <w:trHeight w:val="216"/>
        </w:trPr>
        <w:tc>
          <w:tcPr>
            <w:tcW w:w="66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Exploration and development: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 leasehold costs</w:t>
            </w:r>
          </w:p>
        </w:tc>
        <w:tc>
          <w:tcPr>
            <w:tcW w:w="2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3,556</w:t>
            </w:r>
          </w:p>
        </w:tc>
      </w:tr>
      <w:tr>
        <w:trPr>
          <w:trHeight w:val="216"/>
        </w:trPr>
        <w:tc>
          <w:tcPr>
            <w:tcW w:w="660" w:type="dxa"/>
            <w:vAlign w:val="bottom"/>
          </w:tcPr>
          <w:p>
            <w:pPr>
              <w:spacing w:after="0"/>
              <w:rPr>
                <w:sz w:val="18"/>
                <w:szCs w:val="18"/>
                <w:color w:val="auto"/>
              </w:rPr>
            </w:pPr>
          </w:p>
        </w:tc>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Exploratory drilling and completion costs</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174,775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100,107</w:t>
            </w:r>
          </w:p>
        </w:tc>
      </w:tr>
      <w:tr>
        <w:trPr>
          <w:trHeight w:val="216"/>
        </w:trPr>
        <w:tc>
          <w:tcPr>
            <w:tcW w:w="6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 drilling and completion costs</w:t>
            </w:r>
          </w:p>
        </w:tc>
        <w:tc>
          <w:tcPr>
            <w:tcW w:w="2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158,559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145,578</w:t>
            </w:r>
          </w:p>
        </w:tc>
      </w:tr>
      <w:tr>
        <w:trPr>
          <w:trHeight w:val="216"/>
        </w:trPr>
        <w:tc>
          <w:tcPr>
            <w:tcW w:w="660" w:type="dxa"/>
            <w:vAlign w:val="bottom"/>
          </w:tcPr>
          <w:p>
            <w:pPr>
              <w:spacing w:after="0"/>
              <w:rPr>
                <w:sz w:val="18"/>
                <w:szCs w:val="18"/>
                <w:color w:val="auto"/>
              </w:rPr>
            </w:pPr>
          </w:p>
        </w:tc>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development costs</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6,570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6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660" w:type="dxa"/>
            <w:vAlign w:val="bottom"/>
          </w:tcPr>
          <w:p>
            <w:pPr>
              <w:spacing w:after="0"/>
              <w:rPr>
                <w:sz w:val="18"/>
                <w:szCs w:val="18"/>
                <w:color w:val="auto"/>
              </w:rPr>
            </w:pPr>
          </w:p>
        </w:tc>
        <w:tc>
          <w:tcPr>
            <w:tcW w:w="6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exploration and development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362,350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259,458</w:t>
            </w:r>
          </w:p>
        </w:tc>
      </w:tr>
      <w:tr>
        <w:trPr>
          <w:trHeight w:val="216"/>
        </w:trPr>
        <w:tc>
          <w:tcPr>
            <w:tcW w:w="6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54,752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48,754</w:t>
            </w:r>
          </w:p>
        </w:tc>
      </w:tr>
      <w:tr>
        <w:trPr>
          <w:trHeight w:val="209"/>
        </w:trPr>
        <w:tc>
          <w:tcPr>
            <w:tcW w:w="660" w:type="dxa"/>
            <w:vAlign w:val="bottom"/>
          </w:tcPr>
          <w:p>
            <w:pPr>
              <w:spacing w:after="0"/>
              <w:rPr>
                <w:sz w:val="18"/>
                <w:szCs w:val="18"/>
                <w:color w:val="auto"/>
              </w:rPr>
            </w:pPr>
          </w:p>
        </w:tc>
        <w:tc>
          <w:tcPr>
            <w:tcW w:w="6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417,102</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308,212</w:t>
            </w:r>
          </w:p>
        </w:tc>
      </w:tr>
      <w:tr>
        <w:trPr>
          <w:trHeight w:val="216"/>
        </w:trPr>
        <w:tc>
          <w:tcPr>
            <w:tcW w:w="6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accrued capital expenditures and other</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w:t>
            </w:r>
          </w:p>
        </w:tc>
      </w:tr>
      <w:tr>
        <w:trPr>
          <w:trHeight w:val="216"/>
        </w:trPr>
        <w:tc>
          <w:tcPr>
            <w:tcW w:w="660" w:type="dxa"/>
            <w:vAlign w:val="bottom"/>
          </w:tcPr>
          <w:p>
            <w:pPr>
              <w:spacing w:after="0"/>
              <w:rPr>
                <w:sz w:val="18"/>
                <w:szCs w:val="18"/>
                <w:color w:val="auto"/>
              </w:rPr>
            </w:pPr>
          </w:p>
        </w:tc>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Prepaid drilling costs</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6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asset retirement obligations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660" w:type="dxa"/>
            <w:vAlign w:val="bottom"/>
          </w:tcPr>
          <w:p>
            <w:pPr>
              <w:spacing w:after="0"/>
              <w:rPr>
                <w:sz w:val="21"/>
                <w:szCs w:val="21"/>
                <w:color w:val="auto"/>
              </w:rPr>
            </w:pPr>
          </w:p>
        </w:tc>
        <w:tc>
          <w:tcPr>
            <w:tcW w:w="61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cash capital expenditures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404,948</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298,261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drilled 17 (15.3 net) wells and completed 13 (11.7 net) Haynesville and Bossier shale operated wells during the first three months of 2026. We currently expect to spend an additional $1.1 billion to $1.2 billion in the remaining nine months of 2026 on drilling, completion, infrastructure and other activity.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As of March 31, 2026, we had $1.27 billion of liquidity, comprised of $1.15 billion of unused borrowing capacity under our bank credit facilities and $14.8 million of cash and cash equivalents on hand. $103 million of unused borrowing capacity under our PGS bank credit facility is restricted to PGS midstream activities. Our short and long-term capital requirements consist primarily of funding our development, exploration and midstream activities, acquisitions, payments of contractual obligations and debt service.</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expect to fund our future development and exploration activities with future operating cash flow and borrowings under our bank credit facilities. The timing of most of our future capital expenditures is discretionary because of our limited number of material long-term capital expenditure commitments. Consequently, we have a significant degree of flexibility to adjust the level of our capital expenditures as circumstances warrant. We believe that our cash provided by operations and borrowings available under our bank credit facilities will be sufficient to satisfy our foreseeable liquidity needs and capital expenditure requirements for at least the next twelve months. If our plans or assumptions change or our assumptions prove to be inaccurate, we may be required to seek additional capital, including debt or equity financing. We cannot provide any assurance that we will be able to obtain such capital, or if such capital is available, that we will be able to obtain it on acceptable terms.</w:t>
      </w:r>
    </w:p>
    <w:p>
      <w:pPr>
        <w:spacing w:after="0" w:line="14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do not have a specific acquisition budget for the remainder of 2026 because the timing and size of acquisitions are unpredictable. We intend to use our cash flows from operations, borrowings under our bank credit facilities, or other debt or equity financing to the extent available, to finance such acquisitions. The availability and attractiveness of these sources of financing will depend upon a number of factors, some of which will relate to our financial condition and performance and some of which will be beyond our control, such as prevailing interest rates, natural gas and oil prices and other market conditions. Lack of access to the debt or equity markets due to general economic conditions could impede our ability to complete acquisitions.</w:t>
      </w:r>
    </w:p>
    <w:p>
      <w:pPr>
        <w:spacing w:after="0" w:line="14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As of March 31, 2026, we had $350.0 million outstanding under the Comstock bank credit facility. Aggregate commitments under this bank credit facility are $1.5 billion, which matures on November 15, 2027. Borrowings under our bank credit facility are subject to a borrowing base that is currently set at $2.0 billion. The borrowing base is re-determined on a semi-annual basis and upon the occurrence of certain other events. Borrowings under the Comstock bank credit facility are secured by substantially all of our assets and those of our subsidiaries, except for PGS, and bear interest at our option at either adjusted SOFR plus 2.25% to 3.25% or an alternate base rate plus 1.25% to 2.25%, in each case depending on the utilization of the borrowing base. We also pay a commitment fee of 0.375% to 0.5%, which is dependent on the utilization of the borrowing base. Comstock's bank credit facility places certain restrictions upon our and our subsidiaries' ability to, among other things, incur additional indebtedness, pay cash dividends, repurchase common stock, make certain loans, investments and divestitures and redeem the senior notes. The only financial covenants are the maintenance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00" w:lineRule="exact"/>
        <w:rPr>
          <w:sz w:val="20"/>
          <w:szCs w:val="20"/>
          <w:color w:val="auto"/>
        </w:rPr>
      </w:pP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a leverage ratio of less than 3.5 to 1.0, and an adjusted current ratio of at least 1.0 to 1.0. We were in compliance with the covenants as of March 31, 2026.</w:t>
      </w:r>
    </w:p>
    <w:p>
      <w:pPr>
        <w:spacing w:after="0" w:line="13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As of March 31, 2026, PGS had $47.0 million outstanding under a bank credit facility. Aggregate commitments under the PGS bank credit facility are $150 million, which matures on March 26, 2030. Borrowings under the PGS bank credit facility bear interest at our option, at either SOFR plus 2.5% to 3.5% or an alternate base rate plus 1.5% to 2.5%, in each case depending on a consolidated net leverage ratio. PGS also pays a commitment fee of</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0.375% to 0.5%, which is dependent on the PGS consolidated net leverage ratio. The PGS bank credit facility contains financial covenants that require the maintenance of an interest coverage ratio of at least 2.5 to 1.0 and a consolidated net leverage ratio of less than 4.0 to 1.0.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Taxation</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At March 31, 2026, we had $1.5 billion in U.S. federal net operating loss ("NOL") carryforwards and $1.9 billion in certain state NOL carryforwards. As a result of the change of control in August 2018, our ability to use NOLs to reduce taxable income is limited. If we do not generate a sufficient level of taxable income prior to the expiration of the pre-2018 NOL carryforward periods, then we will lose the ability to apply those NOLs as offsets to future taxable income. We estimate that $720.7 million of the U.S. federal NOL carryforwards and $1.2 billion of the estimated state NOL carryforwards will expire unused.</w:t>
      </w:r>
    </w:p>
    <w:p>
      <w:pPr>
        <w:spacing w:after="0" w:line="15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federal income tax returns for the years subsequent to December 31, 2021 remain subject to examination. Our income tax returns in major state income tax jurisdictions remain subject to examination for various periods subsequent to December 31, 2022. Currently, we are under examination with the United States Internal Revenue Service and believe that our significant filing positions and deductions will be sustained under audit or the final resolution will not have a material effect on the consolidated financial statements. Therefore, we have not established any significant reserves for uncertain tax positions.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condensed consolidated financial statements, which have been prepared in accordance with accounting principles generally accepted in the United States ("GAAP").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Part II, Item 7 of our 2025 Annual Report, we disclosed our critical accounting policies and estimates, which are made in accordance with GAAP, involve a significant level of estimation uncertainty and have had or are reasonably likely to have a material impact on our financial condition or results of operation. There have been no significant changes to our critical accounting policies and estimates during the three months ended March 31, 2026, as compared to those disclosed in the 2025 Annual Report.</w:t>
      </w:r>
    </w:p>
    <w:p>
      <w:pPr>
        <w:spacing w:after="0" w:line="135" w:lineRule="exact"/>
        <w:rPr>
          <w:sz w:val="20"/>
          <w:szCs w:val="20"/>
          <w:color w:val="auto"/>
        </w:rPr>
      </w:pPr>
    </w:p>
    <w:p>
      <w:pPr>
        <w:ind w:right="4120"/>
        <w:spacing w:after="0" w:line="464"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 Natural Gas and Oil Prices</w:t>
      </w: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Our financial condition, results of operations and capital resources are highly dependent upon the prevailing market prices of natural gas and oil. These commodity prices are subject to wide fluctuations and market uncertainties due to a variety of factors, some of which are beyond our control. Factors influencing natural gas and oil prices include the level of global demand for oil, the foreign supply of natural gas and oil, the effect of the wars in Iran and Ukraine, the establishment of and compliance with production quotas by oil exporting countries, weather conditions that determine the demand for natural gas, the price and availability of alternative fuels and overall economic conditions. It is impossible to predict future natural gas and oil prices with any degree of certainty. Sustained weakness in natural gas and oil prices may adversely affect our financial condition and results of operations and may also reduce the amount of natural gas and oil reserves that we can produce economically. Any reduction in our natural gas and oil reserves, including reductions due to price fluctuations, can have an adverse effect on our ability to obtain capital for our exploration and development activities. Similarly, any improvements in natural gas and oil prices can have a favorable impact on our financial condition, results of operations and capital resources.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00" w:lineRule="exact"/>
        <w:rPr>
          <w:sz w:val="20"/>
          <w:szCs w:val="20"/>
          <w:color w:val="auto"/>
        </w:rPr>
      </w:pP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of March 31, 2026, we had natural gas price swaps to hedge approximately 88.0 Bcf of our 2026 natural gas production at an average price of $3.51 per MMBtu. We also had natural gas collars to hedge approximately 126.5 Bcf of our 2026 natural gas production at an average ceiling price of $4.35 and an average floor price of $3.50 and 146.0 Bcf of our 2027 natural gas production at an average ceiling price of $4.44 and an average floor price of $3.50. None of our derivative contracts have margin requirements or collateral provisions that could require funding prior to the scheduled cash settlement date.</w:t>
      </w:r>
    </w:p>
    <w:p>
      <w:pPr>
        <w:spacing w:after="0" w:line="15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An increase of 10% in the market price of natural gas on March 31, 2026 would decrease the fair value of our natural gas price swaps and collars by approximately $83.5 million. A decrease of 10% in the market price of natural gas on March 31, 2026 would increase the fair value of our natural gas price swaps and collars by approximately $83.9 million. The impact of hypothetical changes in market prices of natural gas on our natural gas derivative financial instruments does not include the offsetting impact that the same hypothetical changes in market prices of natural gas may have on our physical sales of natural gas. Since our outstanding natural gas derivative financial instruments hedge only a portion of our forecasted physical gas production, a positive or negative impact to the fair value of our natural gas derivative financial instruments would be partially offset by our physical sales of natural gas.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89"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8"/>
          <w:szCs w:val="18"/>
          <w:color w:val="auto"/>
        </w:rPr>
        <w:t>At March 31, 2026, we had approximately $3.0 billion principal amount of long-term debt outstanding. $965.0 million of our long-term debt bear interest at a fixed rate of 5.875% and $1.62 billion of our long-term debt bear interest at a fixed rate of 6.75%. As of March 31, 2026, the fair market value of the 5.875% senior notes due in 2030 and the 6.75% senior notes due in 2029 was $926.4 million and $1.59 billion, respectively, based on the market price of approximately 96% and 98%, respectively, of the face amount of such debt. At March 31, 2026, we had $397.0 million outstanding under our bank credit facilities, which are subject to variable rates of interest that are tied to SOFR or the corporate base rate, at our option. Any increase in these interest rates would have an adverse impact on our results of operations and cash flow.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As of March 31, 2026, we carried out an evaluation, under the supervision and with the participation of our chief executive officer and chief financial officer, of the effectiveness of the design and operation of our disclosure controls and procedures (as defined in Rule 13a-15(e) under the Securities Exchange Act of 1934). Based on this evaluation, our chief executive officer and chief financial officer concluded that our disclosure controls and procedures were effective as of March 31, 2026 to provide reasonable assurance that information required to be disclosed by us in the reports filed or submitted by us under the Securities Exchange Act of 1934 is recorded, processed, summarized and reported within the time periods specified in the SEC's rules and forms, and to provide reasonable assurance that information required to be disclosed by us is accumulated and communicated to our management, including our chief executive officer and chief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There were no changes in our internal controls over financial reporting (as such term is defined in Rule 13a-15(f) under the Securities Exchange Act of 1934) that occurred during the three months ended March 31, 2026 that has materially affected, or is reasonably likely to materially affect, our internal controls over financial reporting.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certain litigation that arises in the normal course of its operations. We record a loss contingency for these matters when it is probable that a liability has been incurred and the amount of the loss can be reasonably estimated. We do not believe the resolution of these matters will have a material effect on our financial position, results of operations or cash flows and no material amounts are accrued relative to these matters at March 31, 2026 or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are subject to various risks and uncertainties in the course of our business. For a discussion of such risks and uncertainties, please see "Item 1A. Risk Factors" in the Annual Report. There have been no material changes to the Risk Factors we have disclosed in the Annual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adopted or terminated a "Rule 10b5-1 trading arrangement" or "non-Rule 10b5-1 trading arrangement," as those terms are defined in Regulation S-K, Item 408(a).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8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77"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9"/>
        </w:trPr>
        <w:tc>
          <w:tcPr>
            <w:tcW w:w="460" w:type="dxa"/>
            <w:vAlign w:val="bottom"/>
            <w:gridSpan w:val="3"/>
          </w:tcPr>
          <w:p>
            <w:pPr>
              <w:ind w:left="60"/>
              <w:spacing w:after="0"/>
              <w:rPr>
                <w:rFonts w:ascii="Times New Roman" w:cs="Times New Roman" w:eastAsia="Times New Roman" w:hAnsi="Times New Roman"/>
                <w:sz w:val="18"/>
                <w:szCs w:val="18"/>
                <w:color w:val="auto"/>
              </w:rPr>
            </w:pPr>
            <w:hyperlink r:id="rId112">
              <w:r>
                <w:rPr>
                  <w:rFonts w:ascii="Times New Roman" w:cs="Times New Roman" w:eastAsia="Times New Roman" w:hAnsi="Times New Roman"/>
                  <w:sz w:val="18"/>
                  <w:szCs w:val="18"/>
                  <w:color w:val="auto"/>
                </w:rPr>
                <w:t>3.1</w:t>
              </w:r>
            </w:hyperlink>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60" w:type="dxa"/>
            <w:vAlign w:val="bottom"/>
            <w:gridSpan w:val="14"/>
          </w:tcPr>
          <w:p>
            <w:pPr>
              <w:spacing w:after="0"/>
              <w:rPr>
                <w:rFonts w:ascii="Times New Roman" w:cs="Times New Roman" w:eastAsia="Times New Roman" w:hAnsi="Times New Roman"/>
                <w:sz w:val="18"/>
                <w:szCs w:val="18"/>
                <w:color w:val="auto"/>
              </w:rPr>
            </w:pPr>
            <w:hyperlink r:id="rId112">
              <w:r>
                <w:rPr>
                  <w:rFonts w:ascii="Times New Roman" w:cs="Times New Roman" w:eastAsia="Times New Roman" w:hAnsi="Times New Roman"/>
                  <w:sz w:val="18"/>
                  <w:szCs w:val="18"/>
                  <w:color w:val="auto"/>
                </w:rPr>
                <w:t>Second Amended and Restated Articles of Incorporation of the Company (incorporated by reference to Exhibit 3.1 to our</w:t>
              </w:r>
            </w:hyperlink>
          </w:p>
        </w:tc>
      </w:tr>
      <w:tr>
        <w:trPr>
          <w:trHeight w:val="196"/>
        </w:trPr>
        <w:tc>
          <w:tcPr>
            <w:tcW w:w="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12">
              <w:r>
                <w:rPr>
                  <w:rFonts w:ascii="Times New Roman" w:cs="Times New Roman" w:eastAsia="Times New Roman" w:hAnsi="Times New Roman"/>
                  <w:sz w:val="18"/>
                  <w:szCs w:val="18"/>
                  <w:color w:val="auto"/>
                </w:rPr>
                <w:t>Current Report on Form 8-K dated August 13, 2018).</w:t>
              </w:r>
            </w:hyperlink>
          </w:p>
        </w:tc>
        <w:tc>
          <w:tcPr>
            <w:tcW w:w="60" w:type="dxa"/>
            <w:vAlign w:val="bottom"/>
            <w:gridSpan w:val="3"/>
          </w:tcPr>
          <w:p>
            <w:pPr>
              <w:spacing w:after="0"/>
              <w:rPr>
                <w:sz w:val="17"/>
                <w:szCs w:val="17"/>
                <w:color w:val="auto"/>
              </w:rPr>
            </w:pPr>
          </w:p>
        </w:tc>
      </w:tr>
      <w:tr>
        <w:trPr>
          <w:trHeight w:val="61"/>
        </w:trPr>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94967277"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460" w:type="dxa"/>
            <w:vAlign w:val="bottom"/>
            <w:gridSpan w:val="3"/>
            <w:shd w:val="clear" w:color="auto" w:fill="CCEEFF"/>
          </w:tcPr>
          <w:p>
            <w:pPr>
              <w:ind w:left="60"/>
              <w:spacing w:after="0"/>
              <w:rPr>
                <w:rFonts w:ascii="Times New Roman" w:cs="Times New Roman" w:eastAsia="Times New Roman" w:hAnsi="Times New Roman"/>
                <w:sz w:val="18"/>
                <w:szCs w:val="18"/>
                <w:color w:val="auto"/>
              </w:rPr>
            </w:pPr>
            <w:hyperlink r:id="rId113">
              <w:r>
                <w:rPr>
                  <w:rFonts w:ascii="Times New Roman" w:cs="Times New Roman" w:eastAsia="Times New Roman" w:hAnsi="Times New Roman"/>
                  <w:sz w:val="18"/>
                  <w:szCs w:val="18"/>
                  <w:color w:val="auto"/>
                </w:rPr>
                <w:t>3.2</w:t>
              </w:r>
            </w:hyperlink>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360" w:type="dxa"/>
            <w:vAlign w:val="bottom"/>
            <w:gridSpan w:val="14"/>
            <w:shd w:val="clear" w:color="auto" w:fill="CCEEFF"/>
          </w:tcPr>
          <w:p>
            <w:pPr>
              <w:spacing w:after="0"/>
              <w:rPr>
                <w:rFonts w:ascii="Times New Roman" w:cs="Times New Roman" w:eastAsia="Times New Roman" w:hAnsi="Times New Roman"/>
                <w:sz w:val="18"/>
                <w:szCs w:val="18"/>
                <w:color w:val="auto"/>
              </w:rPr>
            </w:pPr>
            <w:hyperlink r:id="rId113">
              <w:r>
                <w:rPr>
                  <w:rFonts w:ascii="Times New Roman" w:cs="Times New Roman" w:eastAsia="Times New Roman" w:hAnsi="Times New Roman"/>
                  <w:sz w:val="18"/>
                  <w:szCs w:val="18"/>
                  <w:color w:val="auto"/>
                </w:rPr>
                <w:t>Amendment to Second Amended and Restated Articles of Incorporation of the Company dated July 16, 2019 (incorporated by</w:t>
              </w:r>
            </w:hyperlink>
          </w:p>
        </w:tc>
      </w:tr>
      <w:tr>
        <w:trPr>
          <w:trHeight w:val="196"/>
        </w:trPr>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30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auto"/>
              </w:rPr>
            </w:pPr>
            <w:hyperlink r:id="rId113">
              <w:r>
                <w:rPr>
                  <w:rFonts w:ascii="Times New Roman" w:cs="Times New Roman" w:eastAsia="Times New Roman" w:hAnsi="Times New Roman"/>
                  <w:sz w:val="18"/>
                  <w:szCs w:val="18"/>
                  <w:color w:val="auto"/>
                </w:rPr>
                <w:t>reference to Exhibit 3.1 to our Current Report on Form 8-K dated July 15, 2019).</w:t>
              </w:r>
            </w:hyperlink>
          </w:p>
        </w:tc>
        <w:tc>
          <w:tcPr>
            <w:tcW w:w="60" w:type="dxa"/>
            <w:vAlign w:val="bottom"/>
            <w:tcBorders>
              <w:top w:val="single" w:sz="8" w:color="CCEEFF"/>
            </w:tcBorders>
            <w:shd w:val="clear" w:color="auto" w:fill="CCEEFF"/>
          </w:tcPr>
          <w:p>
            <w:pPr>
              <w:spacing w:after="0"/>
              <w:rPr>
                <w:sz w:val="17"/>
                <w:szCs w:val="17"/>
                <w:color w:val="auto"/>
              </w:rPr>
            </w:pPr>
          </w:p>
        </w:tc>
      </w:tr>
      <w:tr>
        <w:trPr>
          <w:trHeight w:val="61"/>
        </w:trPr>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18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94967277"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460" w:type="dxa"/>
            <w:vAlign w:val="bottom"/>
            <w:gridSpan w:val="3"/>
          </w:tcPr>
          <w:p>
            <w:pPr>
              <w:ind w:left="60"/>
              <w:spacing w:after="0"/>
              <w:rPr>
                <w:rFonts w:ascii="Times New Roman" w:cs="Times New Roman" w:eastAsia="Times New Roman" w:hAnsi="Times New Roman"/>
                <w:sz w:val="18"/>
                <w:szCs w:val="18"/>
                <w:color w:val="auto"/>
              </w:rPr>
            </w:pPr>
            <w:hyperlink r:id="rId114">
              <w:r>
                <w:rPr>
                  <w:rFonts w:ascii="Times New Roman" w:cs="Times New Roman" w:eastAsia="Times New Roman" w:hAnsi="Times New Roman"/>
                  <w:sz w:val="18"/>
                  <w:szCs w:val="18"/>
                  <w:color w:val="auto"/>
                </w:rPr>
                <w:t>3.3</w:t>
              </w:r>
            </w:hyperlink>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60" w:type="dxa"/>
            <w:vAlign w:val="bottom"/>
            <w:gridSpan w:val="14"/>
          </w:tcPr>
          <w:p>
            <w:pPr>
              <w:spacing w:after="0"/>
              <w:rPr>
                <w:rFonts w:ascii="Times New Roman" w:cs="Times New Roman" w:eastAsia="Times New Roman" w:hAnsi="Times New Roman"/>
                <w:sz w:val="18"/>
                <w:szCs w:val="18"/>
                <w:color w:val="auto"/>
              </w:rPr>
            </w:pPr>
            <w:hyperlink r:id="rId114">
              <w:r>
                <w:rPr>
                  <w:rFonts w:ascii="Times New Roman" w:cs="Times New Roman" w:eastAsia="Times New Roman" w:hAnsi="Times New Roman"/>
                  <w:sz w:val="18"/>
                  <w:szCs w:val="18"/>
                  <w:color w:val="auto"/>
                </w:rPr>
                <w:t>Amended and Restated Bylaws (incorporated by reference to Exhibit 3.1 to our Current Report on Form 8-K dated August 21,</w:t>
              </w:r>
            </w:hyperlink>
          </w:p>
        </w:tc>
      </w:tr>
      <w:tr>
        <w:trPr>
          <w:trHeight w:val="20"/>
        </w:trPr>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40" w:type="dxa"/>
            <w:vAlign w:val="bottom"/>
            <w:gridSpan w:val="4"/>
          </w:tcPr>
          <w:p>
            <w:pPr>
              <w:ind w:left="280"/>
              <w:spacing w:after="0" w:line="196" w:lineRule="exact"/>
              <w:rPr>
                <w:rFonts w:ascii="Times New Roman" w:cs="Times New Roman" w:eastAsia="Times New Roman" w:hAnsi="Times New Roman"/>
                <w:sz w:val="18"/>
                <w:szCs w:val="18"/>
                <w:color w:val="auto"/>
              </w:rPr>
            </w:pPr>
            <w:hyperlink r:id="rId114">
              <w:r>
                <w:rPr>
                  <w:rFonts w:ascii="Times New Roman" w:cs="Times New Roman" w:eastAsia="Times New Roman" w:hAnsi="Times New Roman"/>
                  <w:sz w:val="18"/>
                  <w:szCs w:val="18"/>
                  <w:color w:val="auto"/>
                </w:rPr>
                <w:t>2014).</w:t>
              </w:r>
            </w:hyperlink>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1"/>
        </w:trPr>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94967277"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460" w:type="dxa"/>
            <w:vAlign w:val="bottom"/>
            <w:gridSpan w:val="3"/>
            <w:shd w:val="clear" w:color="auto" w:fill="CCEEFF"/>
          </w:tcPr>
          <w:p>
            <w:pPr>
              <w:ind w:left="60"/>
              <w:spacing w:after="0"/>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3.4</w:t>
              </w:r>
            </w:hyperlink>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360" w:type="dxa"/>
            <w:vAlign w:val="bottom"/>
            <w:gridSpan w:val="14"/>
            <w:shd w:val="clear" w:color="auto" w:fill="CCEEFF"/>
          </w:tcPr>
          <w:p>
            <w:pPr>
              <w:spacing w:after="0"/>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First Amendment to Amended and Restated Bylaws of the Company (incorporated by reference to Exhibit 3.1 to our Current</w:t>
              </w:r>
            </w:hyperlink>
          </w:p>
        </w:tc>
      </w:tr>
      <w:tr>
        <w:trPr>
          <w:trHeight w:val="196"/>
        </w:trPr>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30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Report on Form 8-K dated August 17, 2018).</w:t>
              </w:r>
            </w:hyperlink>
          </w:p>
        </w:tc>
        <w:tc>
          <w:tcPr>
            <w:tcW w:w="60" w:type="dxa"/>
            <w:vAlign w:val="bottom"/>
            <w:tcBorders>
              <w:top w:val="single" w:sz="8" w:color="CCEEFF"/>
            </w:tcBorders>
            <w:shd w:val="clear" w:color="auto" w:fill="CCEEFF"/>
          </w:tcPr>
          <w:p>
            <w:pPr>
              <w:spacing w:after="0"/>
              <w:rPr>
                <w:sz w:val="17"/>
                <w:szCs w:val="17"/>
                <w:color w:val="auto"/>
              </w:rPr>
            </w:pPr>
          </w:p>
        </w:tc>
      </w:tr>
      <w:tr>
        <w:trPr>
          <w:trHeight w:val="61"/>
        </w:trPr>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8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94967277"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460" w:type="dxa"/>
            <w:vAlign w:val="bottom"/>
            <w:gridSpan w:val="3"/>
          </w:tcPr>
          <w:p>
            <w:pPr>
              <w:ind w:left="60"/>
              <w:spacing w:after="0"/>
              <w:rPr>
                <w:rFonts w:ascii="Times New Roman" w:cs="Times New Roman" w:eastAsia="Times New Roman" w:hAnsi="Times New Roman"/>
                <w:sz w:val="18"/>
                <w:szCs w:val="18"/>
                <w:color w:val="auto"/>
              </w:rPr>
            </w:pPr>
            <w:hyperlink r:id="rId116">
              <w:r>
                <w:rPr>
                  <w:rFonts w:ascii="Times New Roman" w:cs="Times New Roman" w:eastAsia="Times New Roman" w:hAnsi="Times New Roman"/>
                  <w:sz w:val="18"/>
                  <w:szCs w:val="18"/>
                  <w:color w:val="auto"/>
                </w:rPr>
                <w:t>3.5</w:t>
              </w:r>
            </w:hyperlink>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60" w:type="dxa"/>
            <w:vAlign w:val="bottom"/>
            <w:gridSpan w:val="14"/>
          </w:tcPr>
          <w:p>
            <w:pPr>
              <w:spacing w:after="0"/>
              <w:rPr>
                <w:rFonts w:ascii="Times New Roman" w:cs="Times New Roman" w:eastAsia="Times New Roman" w:hAnsi="Times New Roman"/>
                <w:sz w:val="18"/>
                <w:szCs w:val="18"/>
                <w:color w:val="auto"/>
              </w:rPr>
            </w:pPr>
            <w:hyperlink r:id="rId116">
              <w:r>
                <w:rPr>
                  <w:rFonts w:ascii="Times New Roman" w:cs="Times New Roman" w:eastAsia="Times New Roman" w:hAnsi="Times New Roman"/>
                  <w:sz w:val="18"/>
                  <w:szCs w:val="18"/>
                  <w:color w:val="auto"/>
                </w:rPr>
                <w:t>Amendment No. 2 to the Amended and Restated Bylaws (incorporated by reference to Exhibit 3.2 to our Current Report on</w:t>
              </w:r>
            </w:hyperlink>
          </w:p>
        </w:tc>
      </w:tr>
      <w:tr>
        <w:trPr>
          <w:trHeight w:val="196"/>
        </w:trPr>
        <w:tc>
          <w:tcPr>
            <w:tcW w:w="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16">
              <w:r>
                <w:rPr>
                  <w:rFonts w:ascii="Times New Roman" w:cs="Times New Roman" w:eastAsia="Times New Roman" w:hAnsi="Times New Roman"/>
                  <w:sz w:val="18"/>
                  <w:szCs w:val="18"/>
                  <w:color w:val="auto"/>
                </w:rPr>
                <w:t>Form 8-K dated July 15, 2019).</w:t>
              </w:r>
            </w:hyperlink>
          </w:p>
        </w:tc>
        <w:tc>
          <w:tcPr>
            <w:tcW w:w="40" w:type="dxa"/>
            <w:vAlign w:val="bottom"/>
            <w:gridSpan w:val="2"/>
          </w:tcPr>
          <w:p>
            <w:pPr>
              <w:spacing w:after="0"/>
              <w:rPr>
                <w:sz w:val="17"/>
                <w:szCs w:val="17"/>
                <w:color w:val="auto"/>
              </w:rPr>
            </w:pPr>
          </w:p>
        </w:tc>
      </w:tr>
      <w:tr>
        <w:trPr>
          <w:trHeight w:val="61"/>
        </w:trPr>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94967277"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0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3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Agreement dated as of March 26, 2026, among Pinnacle Gas Services LLC, Wells Fargo National Association as</w:t>
            </w:r>
          </w:p>
        </w:tc>
      </w:tr>
      <w:tr>
        <w:trPr>
          <w:trHeight w:val="196"/>
        </w:trPr>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300" w:type="dxa"/>
            <w:vAlign w:val="bottom"/>
            <w:tcBorders>
              <w:top w:val="single" w:sz="8" w:color="0000EE"/>
            </w:tcBorders>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Administrative Agent and the lenders party thereto from time to time.</w:t>
            </w:r>
          </w:p>
        </w:tc>
        <w:tc>
          <w:tcPr>
            <w:tcW w:w="60" w:type="dxa"/>
            <w:vAlign w:val="bottom"/>
            <w:tcBorders>
              <w:top w:val="single" w:sz="8" w:color="CCEEFF"/>
            </w:tcBorders>
            <w:gridSpan w:val="3"/>
            <w:shd w:val="clear" w:color="auto" w:fill="CCEEFF"/>
          </w:tcPr>
          <w:p>
            <w:pPr>
              <w:spacing w:after="0"/>
              <w:rPr>
                <w:sz w:val="17"/>
                <w:szCs w:val="17"/>
                <w:color w:val="auto"/>
              </w:rPr>
            </w:pPr>
          </w:p>
        </w:tc>
      </w:tr>
      <w:tr>
        <w:trPr>
          <w:trHeight w:val="61"/>
        </w:trPr>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8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94967277"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0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Section 302 Certification of the Chief Executive Officer.</w:t>
            </w:r>
          </w:p>
        </w:tc>
      </w:tr>
      <w:tr>
        <w:trPr>
          <w:trHeight w:val="61"/>
        </w:trPr>
        <w:tc>
          <w:tcPr>
            <w:tcW w:w="6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94967277"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0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3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302 Certification of the Chief Financial Officer.</w:t>
            </w:r>
          </w:p>
        </w:tc>
      </w:tr>
      <w:tr>
        <w:trPr>
          <w:trHeight w:val="61"/>
        </w:trPr>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8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94967277"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6"/>
        </w:trPr>
        <w:tc>
          <w:tcPr>
            <w:tcW w:w="10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Certification for the Chief Executive Officer as required by Section 906 of the Sarbanes-Oxley Act of 2002.</w:t>
            </w:r>
          </w:p>
        </w:tc>
      </w:tr>
      <w:tr>
        <w:trPr>
          <w:trHeight w:val="61"/>
        </w:trPr>
        <w:tc>
          <w:tcPr>
            <w:tcW w:w="6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8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94967277"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10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3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Certification for the Chief Financial Officer as required by Section 906 of the Sarbanes-Oxley Act of 2002.</w:t>
            </w:r>
          </w:p>
        </w:tc>
      </w:tr>
      <w:tr>
        <w:trPr>
          <w:trHeight w:val="61"/>
        </w:trPr>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18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94967277"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57"/>
        </w:trPr>
        <w:tc>
          <w:tcPr>
            <w:tcW w:w="10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3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0"/>
        </w:trPr>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94967277"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1040" w:type="dxa"/>
            <w:vAlign w:val="bottom"/>
            <w:tcBorders>
              <w:bottom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36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57"/>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3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COMSTOCK RESOURCES, INC.</w:t>
      </w:r>
    </w:p>
    <w:p>
      <w:pPr>
        <w:spacing w:after="0" w:line="364" w:lineRule="exact"/>
        <w:rPr>
          <w:sz w:val="20"/>
          <w:szCs w:val="20"/>
          <w:color w:val="auto"/>
        </w:rPr>
      </w:pPr>
    </w:p>
    <w:p>
      <w:pPr>
        <w:ind w:left="60"/>
        <w:spacing w:after="0"/>
        <w:tabs>
          <w:tab w:leader="none" w:pos="490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/s/ M. JAY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34290</wp:posOffset>
            </wp:positionV>
            <wp:extent cx="36772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6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M. Jay Allison</w:t>
      </w:r>
      <w:r>
        <w:rPr>
          <w:rFonts w:ascii="Times New Roman" w:cs="Times New Roman" w:eastAsia="Times New Roman" w:hAnsi="Times New Roman"/>
          <w:sz w:val="18"/>
          <w:szCs w:val="18"/>
          <w:color w:val="auto"/>
        </w:rPr>
        <w:t>, Chairman and Chief Executive Officer</w:t>
      </w:r>
    </w:p>
    <w:p>
      <w:pPr>
        <w:spacing w:after="0" w:line="8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Executive Officer, Duly Authorized Officer)</w:t>
      </w:r>
    </w:p>
    <w:p>
      <w:pPr>
        <w:spacing w:after="0" w:line="360" w:lineRule="exact"/>
        <w:rPr>
          <w:sz w:val="20"/>
          <w:szCs w:val="20"/>
          <w:color w:val="auto"/>
        </w:rPr>
      </w:pPr>
    </w:p>
    <w:p>
      <w:pPr>
        <w:ind w:left="60"/>
        <w:spacing w:after="0"/>
        <w:tabs>
          <w:tab w:leader="none" w:pos="490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/s/ 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34290</wp:posOffset>
            </wp:positionV>
            <wp:extent cx="36772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6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Roland O. Burns</w:t>
      </w:r>
      <w:r>
        <w:rPr>
          <w:rFonts w:ascii="Times New Roman" w:cs="Times New Roman" w:eastAsia="Times New Roman" w:hAnsi="Times New Roman"/>
          <w:sz w:val="18"/>
          <w:szCs w:val="18"/>
          <w:color w:val="auto"/>
        </w:rPr>
        <w:t>, President, Chief Financial Officer and Secretary</w:t>
      </w:r>
    </w:p>
    <w:p>
      <w:pPr>
        <w:spacing w:after="0" w:line="8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spacing w:after="0" w:line="32"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dated as of March 26, 2026</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among</w:t>
      </w:r>
    </w:p>
    <w:p>
      <w:pPr>
        <w:jc w:val="center"/>
        <w:spacing w:after="0"/>
        <w:rPr>
          <w:sz w:val="20"/>
          <w:szCs w:val="20"/>
          <w:color w:val="auto"/>
        </w:rPr>
      </w:pPr>
      <w:r>
        <w:rPr>
          <w:rFonts w:ascii="Times New Roman" w:cs="Times New Roman" w:eastAsia="Times New Roman" w:hAnsi="Times New Roman"/>
          <w:sz w:val="22"/>
          <w:szCs w:val="22"/>
          <w:b w:val="1"/>
          <w:bCs w:val="1"/>
          <w:color w:val="auto"/>
        </w:rPr>
        <w:t>PINNACLE GAS SERVICES LLC,</w:t>
      </w:r>
    </w:p>
    <w:p>
      <w:pPr>
        <w:spacing w:after="0" w:line="20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as Borrower,</w:t>
      </w:r>
    </w:p>
    <w:p>
      <w:pPr>
        <w:spacing w:after="0" w:line="20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WELLS FARGO BANK, N.A.,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WELLS FARGO SECURITIES, LLC,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1833245</wp:posOffset>
            </wp:positionV>
            <wp:extent cx="70377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86"/>
        </w:trPr>
        <w:tc>
          <w:tcPr>
            <w:tcW w:w="2200" w:type="dxa"/>
            <w:vAlign w:val="bottom"/>
          </w:tcPr>
          <w:p>
            <w:pPr>
              <w:spacing w:after="0"/>
              <w:rPr>
                <w:sz w:val="24"/>
                <w:szCs w:val="24"/>
                <w:color w:val="auto"/>
              </w:rPr>
            </w:pPr>
          </w:p>
        </w:tc>
        <w:tc>
          <w:tcPr>
            <w:tcW w:w="730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7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7300" w:type="dxa"/>
            <w:vAlign w:val="bottom"/>
            <w:vMerge w:val="restart"/>
          </w:tcPr>
          <w:p>
            <w:pPr>
              <w:jc w:val="center"/>
              <w:ind w:right="352"/>
              <w:spacing w:after="0"/>
              <w:rPr>
                <w:sz w:val="20"/>
                <w:szCs w:val="20"/>
                <w:color w:val="auto"/>
              </w:rPr>
            </w:pPr>
            <w:r>
              <w:rPr>
                <w:rFonts w:ascii="Times New Roman" w:cs="Times New Roman" w:eastAsia="Times New Roman" w:hAnsi="Times New Roman"/>
                <w:sz w:val="22"/>
                <w:szCs w:val="22"/>
                <w:color w:val="auto"/>
                <w:w w:val="98"/>
              </w:rPr>
              <w:t>ARTICLE I</w:t>
            </w:r>
          </w:p>
        </w:tc>
        <w:tc>
          <w:tcPr>
            <w:tcW w:w="1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200" w:type="dxa"/>
            <w:vAlign w:val="bottom"/>
          </w:tcPr>
          <w:p>
            <w:pPr>
              <w:spacing w:after="0"/>
              <w:rPr>
                <w:sz w:val="17"/>
                <w:szCs w:val="17"/>
                <w:color w:val="auto"/>
              </w:rPr>
            </w:pPr>
          </w:p>
        </w:tc>
        <w:tc>
          <w:tcPr>
            <w:tcW w:w="73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7300" w:type="dxa"/>
            <w:vAlign w:val="bottom"/>
          </w:tcPr>
          <w:p>
            <w:pPr>
              <w:jc w:val="center"/>
              <w:ind w:right="352"/>
              <w:spacing w:after="0" w:line="243" w:lineRule="exact"/>
              <w:rPr>
                <w:sz w:val="20"/>
                <w:szCs w:val="20"/>
                <w:color w:val="auto"/>
              </w:rPr>
            </w:pPr>
            <w:r>
              <w:rPr>
                <w:rFonts w:ascii="Times New Roman" w:cs="Times New Roman" w:eastAsia="Times New Roman" w:hAnsi="Times New Roman"/>
                <w:sz w:val="22"/>
                <w:szCs w:val="22"/>
                <w:color w:val="auto"/>
                <w:w w:val="97"/>
              </w:rPr>
              <w:t>DEFINITIONS AND ACCOUNTING MATTERS</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0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w w:val="97"/>
              </w:rPr>
              <w:t>Section 1.01Certain Defined Terms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43"/>
        </w:trPr>
        <w:tc>
          <w:tcPr>
            <w:tcW w:w="950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w w:val="98"/>
              </w:rPr>
              <w:t>Section 1.02Types of Loans and Borrowings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47</w:t>
            </w:r>
          </w:p>
        </w:tc>
        <w:tc>
          <w:tcPr>
            <w:tcW w:w="0" w:type="dxa"/>
            <w:vAlign w:val="bottom"/>
          </w:tcPr>
          <w:p>
            <w:pPr>
              <w:spacing w:after="0"/>
              <w:rPr>
                <w:sz w:val="1"/>
                <w:szCs w:val="1"/>
                <w:color w:val="auto"/>
              </w:rPr>
            </w:pPr>
          </w:p>
        </w:tc>
      </w:tr>
      <w:tr>
        <w:trPr>
          <w:trHeight w:val="243"/>
        </w:trPr>
        <w:tc>
          <w:tcPr>
            <w:tcW w:w="950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w w:val="97"/>
              </w:rPr>
              <w:t>Section 1.03Terms Generally; Rules of Construction</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47</w:t>
            </w:r>
          </w:p>
        </w:tc>
        <w:tc>
          <w:tcPr>
            <w:tcW w:w="0" w:type="dxa"/>
            <w:vAlign w:val="bottom"/>
          </w:tcPr>
          <w:p>
            <w:pPr>
              <w:spacing w:after="0"/>
              <w:rPr>
                <w:sz w:val="1"/>
                <w:szCs w:val="1"/>
                <w:color w:val="auto"/>
              </w:rPr>
            </w:pPr>
          </w:p>
        </w:tc>
      </w:tr>
      <w:tr>
        <w:trPr>
          <w:trHeight w:val="243"/>
        </w:trPr>
        <w:tc>
          <w:tcPr>
            <w:tcW w:w="950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w w:val="97"/>
              </w:rPr>
              <w:t>Section 1.04Accounting Terms and Determinations; GAAP</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47</w:t>
            </w:r>
          </w:p>
        </w:tc>
        <w:tc>
          <w:tcPr>
            <w:tcW w:w="0" w:type="dxa"/>
            <w:vAlign w:val="bottom"/>
          </w:tcPr>
          <w:p>
            <w:pPr>
              <w:spacing w:after="0"/>
              <w:rPr>
                <w:sz w:val="1"/>
                <w:szCs w:val="1"/>
                <w:color w:val="auto"/>
              </w:rPr>
            </w:pPr>
          </w:p>
        </w:tc>
      </w:tr>
      <w:tr>
        <w:trPr>
          <w:trHeight w:val="243"/>
        </w:trPr>
        <w:tc>
          <w:tcPr>
            <w:tcW w:w="22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1.05</w:t>
            </w:r>
          </w:p>
        </w:tc>
        <w:tc>
          <w:tcPr>
            <w:tcW w:w="73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Divisions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48</w:t>
            </w:r>
          </w:p>
        </w:tc>
        <w:tc>
          <w:tcPr>
            <w:tcW w:w="0" w:type="dxa"/>
            <w:vAlign w:val="bottom"/>
          </w:tcPr>
          <w:p>
            <w:pPr>
              <w:spacing w:after="0"/>
              <w:rPr>
                <w:sz w:val="1"/>
                <w:szCs w:val="1"/>
                <w:color w:val="auto"/>
              </w:rPr>
            </w:pPr>
          </w:p>
        </w:tc>
      </w:tr>
      <w:tr>
        <w:trPr>
          <w:trHeight w:val="243"/>
        </w:trPr>
        <w:tc>
          <w:tcPr>
            <w:tcW w:w="22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1.06</w:t>
            </w:r>
          </w:p>
        </w:tc>
        <w:tc>
          <w:tcPr>
            <w:tcW w:w="73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Rates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48</w:t>
            </w:r>
          </w:p>
        </w:tc>
        <w:tc>
          <w:tcPr>
            <w:tcW w:w="0" w:type="dxa"/>
            <w:vAlign w:val="bottom"/>
          </w:tcPr>
          <w:p>
            <w:pPr>
              <w:spacing w:after="0"/>
              <w:rPr>
                <w:sz w:val="1"/>
                <w:szCs w:val="1"/>
                <w:color w:val="auto"/>
              </w:rPr>
            </w:pPr>
          </w:p>
        </w:tc>
      </w:tr>
      <w:tr>
        <w:trPr>
          <w:trHeight w:val="243"/>
        </w:trPr>
        <w:tc>
          <w:tcPr>
            <w:tcW w:w="22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1.07</w:t>
            </w:r>
          </w:p>
        </w:tc>
        <w:tc>
          <w:tcPr>
            <w:tcW w:w="73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Rounding</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49</w:t>
            </w:r>
          </w:p>
        </w:tc>
        <w:tc>
          <w:tcPr>
            <w:tcW w:w="0" w:type="dxa"/>
            <w:vAlign w:val="bottom"/>
          </w:tcPr>
          <w:p>
            <w:pPr>
              <w:spacing w:after="0"/>
              <w:rPr>
                <w:sz w:val="1"/>
                <w:szCs w:val="1"/>
                <w:color w:val="auto"/>
              </w:rPr>
            </w:pPr>
          </w:p>
        </w:tc>
      </w:tr>
      <w:tr>
        <w:trPr>
          <w:trHeight w:val="282"/>
        </w:trPr>
        <w:tc>
          <w:tcPr>
            <w:tcW w:w="950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w w:val="97"/>
              </w:rPr>
              <w:t>Section 1.08Letter of Credit Amounts</w:t>
            </w:r>
          </w:p>
        </w:tc>
        <w:tc>
          <w:tcPr>
            <w:tcW w:w="1740" w:type="dxa"/>
            <w:vAlign w:val="bottom"/>
          </w:tcPr>
          <w:p>
            <w:pPr>
              <w:jc w:val="center"/>
              <w:ind w:right="632"/>
              <w:spacing w:after="0"/>
              <w:rPr>
                <w:sz w:val="20"/>
                <w:szCs w:val="20"/>
                <w:color w:val="auto"/>
              </w:rPr>
            </w:pPr>
            <w:r>
              <w:rPr>
                <w:rFonts w:ascii="Times New Roman" w:cs="Times New Roman" w:eastAsia="Times New Roman" w:hAnsi="Times New Roman"/>
                <w:sz w:val="22"/>
                <w:szCs w:val="22"/>
                <w:color w:val="auto"/>
                <w:w w:val="90"/>
              </w:rPr>
              <w:t>49</w:t>
            </w:r>
          </w:p>
        </w:tc>
        <w:tc>
          <w:tcPr>
            <w:tcW w:w="0" w:type="dxa"/>
            <w:vAlign w:val="bottom"/>
          </w:tcPr>
          <w:p>
            <w:pPr>
              <w:spacing w:after="0"/>
              <w:rPr>
                <w:sz w:val="1"/>
                <w:szCs w:val="1"/>
                <w:color w:val="auto"/>
              </w:rPr>
            </w:pPr>
          </w:p>
        </w:tc>
      </w:tr>
      <w:tr>
        <w:trPr>
          <w:trHeight w:val="433"/>
        </w:trPr>
        <w:tc>
          <w:tcPr>
            <w:tcW w:w="2200" w:type="dxa"/>
            <w:vAlign w:val="bottom"/>
          </w:tcPr>
          <w:p>
            <w:pPr>
              <w:spacing w:after="0"/>
              <w:rPr>
                <w:sz w:val="24"/>
                <w:szCs w:val="24"/>
                <w:color w:val="auto"/>
              </w:rPr>
            </w:pPr>
          </w:p>
        </w:tc>
        <w:tc>
          <w:tcPr>
            <w:tcW w:w="7300" w:type="dxa"/>
            <w:vAlign w:val="bottom"/>
          </w:tcPr>
          <w:p>
            <w:pPr>
              <w:jc w:val="center"/>
              <w:ind w:right="352"/>
              <w:spacing w:after="0"/>
              <w:rPr>
                <w:sz w:val="20"/>
                <w:szCs w:val="20"/>
                <w:color w:val="auto"/>
              </w:rPr>
            </w:pPr>
            <w:r>
              <w:rPr>
                <w:rFonts w:ascii="Times New Roman" w:cs="Times New Roman" w:eastAsia="Times New Roman" w:hAnsi="Times New Roman"/>
                <w:sz w:val="22"/>
                <w:szCs w:val="22"/>
                <w:color w:val="auto"/>
                <w:w w:val="99"/>
              </w:rPr>
              <w:t>ARTICLE II</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7300" w:type="dxa"/>
            <w:vAlign w:val="bottom"/>
          </w:tcPr>
          <w:p>
            <w:pPr>
              <w:jc w:val="center"/>
              <w:ind w:right="352"/>
              <w:spacing w:after="0" w:line="243" w:lineRule="exact"/>
              <w:rPr>
                <w:sz w:val="20"/>
                <w:szCs w:val="20"/>
                <w:color w:val="auto"/>
              </w:rPr>
            </w:pPr>
            <w:r>
              <w:rPr>
                <w:rFonts w:ascii="Times New Roman" w:cs="Times New Roman" w:eastAsia="Times New Roman" w:hAnsi="Times New Roman"/>
                <w:sz w:val="22"/>
                <w:szCs w:val="22"/>
                <w:color w:val="auto"/>
                <w:w w:val="97"/>
              </w:rPr>
              <w:t>THE CREDITS</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2.01</w:t>
            </w:r>
          </w:p>
        </w:tc>
        <w:tc>
          <w:tcPr>
            <w:tcW w:w="73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Commitments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49</w:t>
            </w:r>
          </w:p>
        </w:tc>
        <w:tc>
          <w:tcPr>
            <w:tcW w:w="0" w:type="dxa"/>
            <w:vAlign w:val="bottom"/>
          </w:tcPr>
          <w:p>
            <w:pPr>
              <w:spacing w:after="0"/>
              <w:rPr>
                <w:sz w:val="1"/>
                <w:szCs w:val="1"/>
                <w:color w:val="auto"/>
              </w:rPr>
            </w:pPr>
          </w:p>
        </w:tc>
      </w:tr>
      <w:tr>
        <w:trPr>
          <w:trHeight w:val="243"/>
        </w:trPr>
        <w:tc>
          <w:tcPr>
            <w:tcW w:w="950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w w:val="97"/>
              </w:rPr>
              <w:t>Section 2.02Loans and Borrowings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49</w:t>
            </w:r>
          </w:p>
        </w:tc>
        <w:tc>
          <w:tcPr>
            <w:tcW w:w="0" w:type="dxa"/>
            <w:vAlign w:val="bottom"/>
          </w:tcPr>
          <w:p>
            <w:pPr>
              <w:spacing w:after="0"/>
              <w:rPr>
                <w:sz w:val="1"/>
                <w:szCs w:val="1"/>
                <w:color w:val="auto"/>
              </w:rPr>
            </w:pPr>
          </w:p>
        </w:tc>
      </w:tr>
      <w:tr>
        <w:trPr>
          <w:trHeight w:val="243"/>
        </w:trPr>
        <w:tc>
          <w:tcPr>
            <w:tcW w:w="950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w w:val="98"/>
              </w:rPr>
              <w:t>Section 2.03Requests for Borrowings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50</w:t>
            </w:r>
          </w:p>
        </w:tc>
        <w:tc>
          <w:tcPr>
            <w:tcW w:w="0" w:type="dxa"/>
            <w:vAlign w:val="bottom"/>
          </w:tcPr>
          <w:p>
            <w:pPr>
              <w:spacing w:after="0"/>
              <w:rPr>
                <w:sz w:val="1"/>
                <w:szCs w:val="1"/>
                <w:color w:val="auto"/>
              </w:rPr>
            </w:pPr>
          </w:p>
        </w:tc>
      </w:tr>
      <w:tr>
        <w:trPr>
          <w:trHeight w:val="243"/>
        </w:trPr>
        <w:tc>
          <w:tcPr>
            <w:tcW w:w="22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2.04</w:t>
            </w:r>
          </w:p>
        </w:tc>
        <w:tc>
          <w:tcPr>
            <w:tcW w:w="73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Interest Elections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51</w:t>
            </w:r>
          </w:p>
        </w:tc>
        <w:tc>
          <w:tcPr>
            <w:tcW w:w="0" w:type="dxa"/>
            <w:vAlign w:val="bottom"/>
          </w:tcPr>
          <w:p>
            <w:pPr>
              <w:spacing w:after="0"/>
              <w:rPr>
                <w:sz w:val="1"/>
                <w:szCs w:val="1"/>
                <w:color w:val="auto"/>
              </w:rPr>
            </w:pPr>
          </w:p>
        </w:tc>
      </w:tr>
      <w:tr>
        <w:trPr>
          <w:trHeight w:val="243"/>
        </w:trPr>
        <w:tc>
          <w:tcPr>
            <w:tcW w:w="950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w w:val="97"/>
              </w:rPr>
              <w:t>Section 2.05Funding of Borrowings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52</w:t>
            </w:r>
          </w:p>
        </w:tc>
        <w:tc>
          <w:tcPr>
            <w:tcW w:w="0" w:type="dxa"/>
            <w:vAlign w:val="bottom"/>
          </w:tcPr>
          <w:p>
            <w:pPr>
              <w:spacing w:after="0"/>
              <w:rPr>
                <w:sz w:val="1"/>
                <w:szCs w:val="1"/>
                <w:color w:val="auto"/>
              </w:rPr>
            </w:pPr>
          </w:p>
        </w:tc>
      </w:tr>
      <w:tr>
        <w:trPr>
          <w:trHeight w:val="243"/>
        </w:trPr>
        <w:tc>
          <w:tcPr>
            <w:tcW w:w="950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w w:val="98"/>
              </w:rPr>
              <w:t>Section 2.06Termination, Reduction and Increase of Commitments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53</w:t>
            </w:r>
          </w:p>
        </w:tc>
        <w:tc>
          <w:tcPr>
            <w:tcW w:w="0" w:type="dxa"/>
            <w:vAlign w:val="bottom"/>
          </w:tcPr>
          <w:p>
            <w:pPr>
              <w:spacing w:after="0"/>
              <w:rPr>
                <w:sz w:val="1"/>
                <w:szCs w:val="1"/>
                <w:color w:val="auto"/>
              </w:rPr>
            </w:pPr>
          </w:p>
        </w:tc>
      </w:tr>
      <w:tr>
        <w:trPr>
          <w:trHeight w:val="243"/>
        </w:trPr>
        <w:tc>
          <w:tcPr>
            <w:tcW w:w="22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2.07</w:t>
            </w:r>
          </w:p>
        </w:tc>
        <w:tc>
          <w:tcPr>
            <w:tcW w:w="73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Letters of Credit</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56</w:t>
            </w:r>
          </w:p>
        </w:tc>
        <w:tc>
          <w:tcPr>
            <w:tcW w:w="0" w:type="dxa"/>
            <w:vAlign w:val="bottom"/>
          </w:tcPr>
          <w:p>
            <w:pPr>
              <w:spacing w:after="0"/>
              <w:rPr>
                <w:sz w:val="1"/>
                <w:szCs w:val="1"/>
                <w:color w:val="auto"/>
              </w:rPr>
            </w:pPr>
          </w:p>
        </w:tc>
      </w:tr>
      <w:tr>
        <w:trPr>
          <w:trHeight w:val="282"/>
        </w:trPr>
        <w:tc>
          <w:tcPr>
            <w:tcW w:w="950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w w:val="98"/>
              </w:rPr>
              <w:t>Section 2.08Reliance on Notices</w:t>
            </w:r>
          </w:p>
        </w:tc>
        <w:tc>
          <w:tcPr>
            <w:tcW w:w="1740" w:type="dxa"/>
            <w:vAlign w:val="bottom"/>
          </w:tcPr>
          <w:p>
            <w:pPr>
              <w:jc w:val="center"/>
              <w:ind w:right="632"/>
              <w:spacing w:after="0"/>
              <w:rPr>
                <w:sz w:val="20"/>
                <w:szCs w:val="20"/>
                <w:color w:val="auto"/>
              </w:rPr>
            </w:pPr>
            <w:r>
              <w:rPr>
                <w:rFonts w:ascii="Times New Roman" w:cs="Times New Roman" w:eastAsia="Times New Roman" w:hAnsi="Times New Roman"/>
                <w:sz w:val="22"/>
                <w:szCs w:val="22"/>
                <w:color w:val="auto"/>
                <w:w w:val="90"/>
              </w:rPr>
              <w:t>63</w:t>
            </w:r>
          </w:p>
        </w:tc>
        <w:tc>
          <w:tcPr>
            <w:tcW w:w="0" w:type="dxa"/>
            <w:vAlign w:val="bottom"/>
          </w:tcPr>
          <w:p>
            <w:pPr>
              <w:spacing w:after="0"/>
              <w:rPr>
                <w:sz w:val="1"/>
                <w:szCs w:val="1"/>
                <w:color w:val="auto"/>
              </w:rPr>
            </w:pPr>
          </w:p>
        </w:tc>
      </w:tr>
      <w:tr>
        <w:trPr>
          <w:trHeight w:val="433"/>
        </w:trPr>
        <w:tc>
          <w:tcPr>
            <w:tcW w:w="2200" w:type="dxa"/>
            <w:vAlign w:val="bottom"/>
          </w:tcPr>
          <w:p>
            <w:pPr>
              <w:spacing w:after="0"/>
              <w:rPr>
                <w:sz w:val="24"/>
                <w:szCs w:val="24"/>
                <w:color w:val="auto"/>
              </w:rPr>
            </w:pPr>
          </w:p>
        </w:tc>
        <w:tc>
          <w:tcPr>
            <w:tcW w:w="730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7"/>
              </w:rPr>
              <w:t>ARTICLE III</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7300" w:type="dxa"/>
            <w:vAlign w:val="bottom"/>
          </w:tcPr>
          <w:p>
            <w:pPr>
              <w:jc w:val="center"/>
              <w:ind w:right="352"/>
              <w:spacing w:after="0" w:line="243" w:lineRule="exact"/>
              <w:rPr>
                <w:sz w:val="20"/>
                <w:szCs w:val="20"/>
                <w:color w:val="auto"/>
              </w:rPr>
            </w:pPr>
            <w:r>
              <w:rPr>
                <w:rFonts w:ascii="Times New Roman" w:cs="Times New Roman" w:eastAsia="Times New Roman" w:hAnsi="Times New Roman"/>
                <w:sz w:val="22"/>
                <w:szCs w:val="22"/>
                <w:color w:val="auto"/>
                <w:w w:val="98"/>
              </w:rPr>
              <w:t>PAYMENTS OF PRINCIPAL AND INTEREST; PREPAYMENTS; FEES</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0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w w:val="98"/>
              </w:rPr>
              <w:t>Section 3.01Repayment of Loans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63</w:t>
            </w:r>
          </w:p>
        </w:tc>
        <w:tc>
          <w:tcPr>
            <w:tcW w:w="0" w:type="dxa"/>
            <w:vAlign w:val="bottom"/>
          </w:tcPr>
          <w:p>
            <w:pPr>
              <w:spacing w:after="0"/>
              <w:rPr>
                <w:sz w:val="1"/>
                <w:szCs w:val="1"/>
                <w:color w:val="auto"/>
              </w:rPr>
            </w:pPr>
          </w:p>
        </w:tc>
      </w:tr>
      <w:tr>
        <w:trPr>
          <w:trHeight w:val="243"/>
        </w:trPr>
        <w:tc>
          <w:tcPr>
            <w:tcW w:w="22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3.02</w:t>
            </w:r>
          </w:p>
        </w:tc>
        <w:tc>
          <w:tcPr>
            <w:tcW w:w="73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Interest</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63</w:t>
            </w:r>
          </w:p>
        </w:tc>
        <w:tc>
          <w:tcPr>
            <w:tcW w:w="0" w:type="dxa"/>
            <w:vAlign w:val="bottom"/>
          </w:tcPr>
          <w:p>
            <w:pPr>
              <w:spacing w:after="0"/>
              <w:rPr>
                <w:sz w:val="1"/>
                <w:szCs w:val="1"/>
                <w:color w:val="auto"/>
              </w:rPr>
            </w:pPr>
          </w:p>
        </w:tc>
      </w:tr>
      <w:tr>
        <w:trPr>
          <w:trHeight w:val="243"/>
        </w:trPr>
        <w:tc>
          <w:tcPr>
            <w:tcW w:w="22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3.03</w:t>
            </w:r>
          </w:p>
        </w:tc>
        <w:tc>
          <w:tcPr>
            <w:tcW w:w="73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Changed Circumstances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64</w:t>
            </w:r>
          </w:p>
        </w:tc>
        <w:tc>
          <w:tcPr>
            <w:tcW w:w="0" w:type="dxa"/>
            <w:vAlign w:val="bottom"/>
          </w:tcPr>
          <w:p>
            <w:pPr>
              <w:spacing w:after="0"/>
              <w:rPr>
                <w:sz w:val="1"/>
                <w:szCs w:val="1"/>
                <w:color w:val="auto"/>
              </w:rPr>
            </w:pPr>
          </w:p>
        </w:tc>
      </w:tr>
      <w:tr>
        <w:trPr>
          <w:trHeight w:val="243"/>
        </w:trPr>
        <w:tc>
          <w:tcPr>
            <w:tcW w:w="22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3.04</w:t>
            </w:r>
          </w:p>
        </w:tc>
        <w:tc>
          <w:tcPr>
            <w:tcW w:w="73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Prepayments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66</w:t>
            </w:r>
          </w:p>
        </w:tc>
        <w:tc>
          <w:tcPr>
            <w:tcW w:w="0" w:type="dxa"/>
            <w:vAlign w:val="bottom"/>
          </w:tcPr>
          <w:p>
            <w:pPr>
              <w:spacing w:after="0"/>
              <w:rPr>
                <w:sz w:val="1"/>
                <w:szCs w:val="1"/>
                <w:color w:val="auto"/>
              </w:rPr>
            </w:pPr>
          </w:p>
        </w:tc>
      </w:tr>
      <w:tr>
        <w:trPr>
          <w:trHeight w:val="282"/>
        </w:trPr>
        <w:tc>
          <w:tcPr>
            <w:tcW w:w="22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Section 3.05</w:t>
            </w:r>
          </w:p>
        </w:tc>
        <w:tc>
          <w:tcPr>
            <w:tcW w:w="73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Fees</w:t>
            </w:r>
          </w:p>
        </w:tc>
        <w:tc>
          <w:tcPr>
            <w:tcW w:w="1740" w:type="dxa"/>
            <w:vAlign w:val="bottom"/>
          </w:tcPr>
          <w:p>
            <w:pPr>
              <w:jc w:val="center"/>
              <w:ind w:right="632"/>
              <w:spacing w:after="0"/>
              <w:rPr>
                <w:sz w:val="20"/>
                <w:szCs w:val="20"/>
                <w:color w:val="auto"/>
              </w:rPr>
            </w:pPr>
            <w:r>
              <w:rPr>
                <w:rFonts w:ascii="Times New Roman" w:cs="Times New Roman" w:eastAsia="Times New Roman" w:hAnsi="Times New Roman"/>
                <w:sz w:val="22"/>
                <w:szCs w:val="22"/>
                <w:color w:val="auto"/>
                <w:w w:val="90"/>
              </w:rPr>
              <w:t>68</w:t>
            </w:r>
          </w:p>
        </w:tc>
        <w:tc>
          <w:tcPr>
            <w:tcW w:w="0" w:type="dxa"/>
            <w:vAlign w:val="bottom"/>
          </w:tcPr>
          <w:p>
            <w:pPr>
              <w:spacing w:after="0"/>
              <w:rPr>
                <w:sz w:val="1"/>
                <w:szCs w:val="1"/>
                <w:color w:val="auto"/>
              </w:rPr>
            </w:pPr>
          </w:p>
        </w:tc>
      </w:tr>
      <w:tr>
        <w:trPr>
          <w:trHeight w:val="433"/>
        </w:trPr>
        <w:tc>
          <w:tcPr>
            <w:tcW w:w="2200" w:type="dxa"/>
            <w:vAlign w:val="bottom"/>
          </w:tcPr>
          <w:p>
            <w:pPr>
              <w:spacing w:after="0"/>
              <w:rPr>
                <w:sz w:val="24"/>
                <w:szCs w:val="24"/>
                <w:color w:val="auto"/>
              </w:rPr>
            </w:pPr>
          </w:p>
        </w:tc>
        <w:tc>
          <w:tcPr>
            <w:tcW w:w="7300" w:type="dxa"/>
            <w:vAlign w:val="bottom"/>
          </w:tcPr>
          <w:p>
            <w:pPr>
              <w:jc w:val="center"/>
              <w:ind w:right="352"/>
              <w:spacing w:after="0"/>
              <w:rPr>
                <w:sz w:val="20"/>
                <w:szCs w:val="20"/>
                <w:color w:val="auto"/>
              </w:rPr>
            </w:pPr>
            <w:r>
              <w:rPr>
                <w:rFonts w:ascii="Times New Roman" w:cs="Times New Roman" w:eastAsia="Times New Roman" w:hAnsi="Times New Roman"/>
                <w:sz w:val="22"/>
                <w:szCs w:val="22"/>
                <w:color w:val="auto"/>
                <w:w w:val="98"/>
              </w:rPr>
              <w:t>ARTICLE IV</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7300" w:type="dxa"/>
            <w:vAlign w:val="bottom"/>
          </w:tcPr>
          <w:p>
            <w:pPr>
              <w:jc w:val="center"/>
              <w:ind w:right="352"/>
              <w:spacing w:after="0" w:line="243" w:lineRule="exact"/>
              <w:rPr>
                <w:sz w:val="20"/>
                <w:szCs w:val="20"/>
                <w:color w:val="auto"/>
              </w:rPr>
            </w:pPr>
            <w:r>
              <w:rPr>
                <w:rFonts w:ascii="Times New Roman" w:cs="Times New Roman" w:eastAsia="Times New Roman" w:hAnsi="Times New Roman"/>
                <w:sz w:val="22"/>
                <w:szCs w:val="22"/>
                <w:color w:val="auto"/>
                <w:w w:val="97"/>
              </w:rPr>
              <w:t>PAYMENTS; PRO RATA TREATMENT; SHARING OF SET-OFFS</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0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w w:val="97"/>
              </w:rPr>
              <w:t>Section 4.01Payments Generally; Pro Rata Treatment; Sharing of Set-offs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69</w:t>
            </w:r>
          </w:p>
        </w:tc>
        <w:tc>
          <w:tcPr>
            <w:tcW w:w="0" w:type="dxa"/>
            <w:vAlign w:val="bottom"/>
          </w:tcPr>
          <w:p>
            <w:pPr>
              <w:spacing w:after="0"/>
              <w:rPr>
                <w:sz w:val="1"/>
                <w:szCs w:val="1"/>
                <w:color w:val="auto"/>
              </w:rPr>
            </w:pPr>
          </w:p>
        </w:tc>
      </w:tr>
      <w:tr>
        <w:trPr>
          <w:trHeight w:val="243"/>
        </w:trPr>
        <w:tc>
          <w:tcPr>
            <w:tcW w:w="950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w w:val="98"/>
              </w:rPr>
              <w:t>Section 4.02Payments by the Borrower; Presumptions by the Administrative Agent</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70</w:t>
            </w:r>
          </w:p>
        </w:tc>
        <w:tc>
          <w:tcPr>
            <w:tcW w:w="0" w:type="dxa"/>
            <w:vAlign w:val="bottom"/>
          </w:tcPr>
          <w:p>
            <w:pPr>
              <w:spacing w:after="0"/>
              <w:rPr>
                <w:sz w:val="1"/>
                <w:szCs w:val="1"/>
                <w:color w:val="auto"/>
              </w:rPr>
            </w:pPr>
          </w:p>
        </w:tc>
      </w:tr>
      <w:tr>
        <w:trPr>
          <w:trHeight w:val="243"/>
        </w:trPr>
        <w:tc>
          <w:tcPr>
            <w:tcW w:w="950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w w:val="98"/>
              </w:rPr>
              <w:t>Section 4.03Certain Deductions by the Administrative Agent</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71</w:t>
            </w:r>
          </w:p>
        </w:tc>
        <w:tc>
          <w:tcPr>
            <w:tcW w:w="0" w:type="dxa"/>
            <w:vAlign w:val="bottom"/>
          </w:tcPr>
          <w:p>
            <w:pPr>
              <w:spacing w:after="0"/>
              <w:rPr>
                <w:sz w:val="1"/>
                <w:szCs w:val="1"/>
                <w:color w:val="auto"/>
              </w:rPr>
            </w:pPr>
          </w:p>
        </w:tc>
      </w:tr>
      <w:tr>
        <w:trPr>
          <w:trHeight w:val="282"/>
        </w:trPr>
        <w:tc>
          <w:tcPr>
            <w:tcW w:w="22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Section 4.04</w:t>
            </w:r>
          </w:p>
        </w:tc>
        <w:tc>
          <w:tcPr>
            <w:tcW w:w="73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Defaulting Lenders</w:t>
            </w:r>
          </w:p>
        </w:tc>
        <w:tc>
          <w:tcPr>
            <w:tcW w:w="1740" w:type="dxa"/>
            <w:vAlign w:val="bottom"/>
          </w:tcPr>
          <w:p>
            <w:pPr>
              <w:jc w:val="center"/>
              <w:ind w:right="632"/>
              <w:spacing w:after="0"/>
              <w:rPr>
                <w:sz w:val="20"/>
                <w:szCs w:val="20"/>
                <w:color w:val="auto"/>
              </w:rPr>
            </w:pPr>
            <w:r>
              <w:rPr>
                <w:rFonts w:ascii="Times New Roman" w:cs="Times New Roman" w:eastAsia="Times New Roman" w:hAnsi="Times New Roman"/>
                <w:sz w:val="22"/>
                <w:szCs w:val="22"/>
                <w:color w:val="auto"/>
                <w:w w:val="90"/>
              </w:rPr>
              <w:t>71</w:t>
            </w:r>
          </w:p>
        </w:tc>
        <w:tc>
          <w:tcPr>
            <w:tcW w:w="0" w:type="dxa"/>
            <w:vAlign w:val="bottom"/>
          </w:tcPr>
          <w:p>
            <w:pPr>
              <w:spacing w:after="0"/>
              <w:rPr>
                <w:sz w:val="1"/>
                <w:szCs w:val="1"/>
                <w:color w:val="auto"/>
              </w:rPr>
            </w:pPr>
          </w:p>
        </w:tc>
      </w:tr>
      <w:tr>
        <w:trPr>
          <w:trHeight w:val="433"/>
        </w:trPr>
        <w:tc>
          <w:tcPr>
            <w:tcW w:w="2200" w:type="dxa"/>
            <w:vAlign w:val="bottom"/>
          </w:tcPr>
          <w:p>
            <w:pPr>
              <w:spacing w:after="0"/>
              <w:rPr>
                <w:sz w:val="24"/>
                <w:szCs w:val="24"/>
                <w:color w:val="auto"/>
              </w:rPr>
            </w:pPr>
          </w:p>
        </w:tc>
        <w:tc>
          <w:tcPr>
            <w:tcW w:w="7300" w:type="dxa"/>
            <w:vAlign w:val="bottom"/>
          </w:tcPr>
          <w:p>
            <w:pPr>
              <w:jc w:val="center"/>
              <w:ind w:right="352"/>
              <w:spacing w:after="0"/>
              <w:rPr>
                <w:sz w:val="20"/>
                <w:szCs w:val="20"/>
                <w:color w:val="auto"/>
              </w:rPr>
            </w:pPr>
            <w:r>
              <w:rPr>
                <w:rFonts w:ascii="Times New Roman" w:cs="Times New Roman" w:eastAsia="Times New Roman" w:hAnsi="Times New Roman"/>
                <w:sz w:val="22"/>
                <w:szCs w:val="22"/>
                <w:color w:val="auto"/>
                <w:w w:val="97"/>
              </w:rPr>
              <w:t>ARTICLE V</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500" w:type="dxa"/>
            <w:vAlign w:val="bottom"/>
            <w:gridSpan w:val="2"/>
          </w:tcPr>
          <w:p>
            <w:pPr>
              <w:jc w:val="center"/>
              <w:ind w:left="1639"/>
              <w:spacing w:after="0" w:line="243" w:lineRule="exact"/>
              <w:rPr>
                <w:sz w:val="20"/>
                <w:szCs w:val="20"/>
                <w:color w:val="auto"/>
              </w:rPr>
            </w:pPr>
            <w:r>
              <w:rPr>
                <w:rFonts w:ascii="Times New Roman" w:cs="Times New Roman" w:eastAsia="Times New Roman" w:hAnsi="Times New Roman"/>
                <w:sz w:val="22"/>
                <w:szCs w:val="22"/>
                <w:color w:val="auto"/>
                <w:w w:val="98"/>
              </w:rPr>
              <w:t>INCREASED COSTS; BREAK FUNDING PAYMENTS; TAXES; ILLEGALITY</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5.01</w:t>
            </w:r>
          </w:p>
        </w:tc>
        <w:tc>
          <w:tcPr>
            <w:tcW w:w="73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Increased Costs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73</w:t>
            </w:r>
          </w:p>
        </w:tc>
        <w:tc>
          <w:tcPr>
            <w:tcW w:w="0" w:type="dxa"/>
            <w:vAlign w:val="bottom"/>
          </w:tcPr>
          <w:p>
            <w:pPr>
              <w:spacing w:after="0"/>
              <w:rPr>
                <w:sz w:val="1"/>
                <w:szCs w:val="1"/>
                <w:color w:val="auto"/>
              </w:rPr>
            </w:pPr>
          </w:p>
        </w:tc>
      </w:tr>
      <w:tr>
        <w:trPr>
          <w:trHeight w:val="243"/>
        </w:trPr>
        <w:tc>
          <w:tcPr>
            <w:tcW w:w="950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w w:val="97"/>
              </w:rPr>
              <w:t>Section 5.02Break Funding Payments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75</w:t>
            </w:r>
          </w:p>
        </w:tc>
        <w:tc>
          <w:tcPr>
            <w:tcW w:w="0" w:type="dxa"/>
            <w:vAlign w:val="bottom"/>
          </w:tcPr>
          <w:p>
            <w:pPr>
              <w:spacing w:after="0"/>
              <w:rPr>
                <w:sz w:val="1"/>
                <w:szCs w:val="1"/>
                <w:color w:val="auto"/>
              </w:rPr>
            </w:pPr>
          </w:p>
        </w:tc>
      </w:tr>
      <w:tr>
        <w:trPr>
          <w:trHeight w:val="243"/>
        </w:trPr>
        <w:tc>
          <w:tcPr>
            <w:tcW w:w="22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5.03</w:t>
            </w:r>
          </w:p>
        </w:tc>
        <w:tc>
          <w:tcPr>
            <w:tcW w:w="73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75</w:t>
            </w:r>
          </w:p>
        </w:tc>
        <w:tc>
          <w:tcPr>
            <w:tcW w:w="0" w:type="dxa"/>
            <w:vAlign w:val="bottom"/>
          </w:tcPr>
          <w:p>
            <w:pPr>
              <w:spacing w:after="0"/>
              <w:rPr>
                <w:sz w:val="1"/>
                <w:szCs w:val="1"/>
                <w:color w:val="auto"/>
              </w:rPr>
            </w:pPr>
          </w:p>
        </w:tc>
      </w:tr>
      <w:tr>
        <w:trPr>
          <w:trHeight w:val="243"/>
        </w:trPr>
        <w:tc>
          <w:tcPr>
            <w:tcW w:w="950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w w:val="98"/>
              </w:rPr>
              <w:t>Section 5.04Mitigation Obligations; Replacement of Lenders</w:t>
            </w:r>
          </w:p>
        </w:tc>
        <w:tc>
          <w:tcPr>
            <w:tcW w:w="1740" w:type="dxa"/>
            <w:vAlign w:val="bottom"/>
          </w:tcPr>
          <w:p>
            <w:pPr>
              <w:jc w:val="center"/>
              <w:ind w:right="632"/>
              <w:spacing w:after="0" w:line="243" w:lineRule="exact"/>
              <w:rPr>
                <w:sz w:val="20"/>
                <w:szCs w:val="20"/>
                <w:color w:val="auto"/>
              </w:rPr>
            </w:pPr>
            <w:r>
              <w:rPr>
                <w:rFonts w:ascii="Times New Roman" w:cs="Times New Roman" w:eastAsia="Times New Roman" w:hAnsi="Times New Roman"/>
                <w:sz w:val="22"/>
                <w:szCs w:val="22"/>
                <w:color w:val="auto"/>
                <w:w w:val="90"/>
              </w:rPr>
              <w:t>79</w:t>
            </w:r>
          </w:p>
        </w:tc>
        <w:tc>
          <w:tcPr>
            <w:tcW w:w="0" w:type="dxa"/>
            <w:vAlign w:val="bottom"/>
          </w:tcPr>
          <w:p>
            <w:pPr>
              <w:spacing w:after="0"/>
              <w:rPr>
                <w:sz w:val="1"/>
                <w:szCs w:val="1"/>
                <w:color w:val="auto"/>
              </w:rPr>
            </w:pPr>
          </w:p>
        </w:tc>
      </w:tr>
      <w:tr>
        <w:trPr>
          <w:trHeight w:val="282"/>
        </w:trPr>
        <w:tc>
          <w:tcPr>
            <w:tcW w:w="22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Section 5.05</w:t>
            </w:r>
          </w:p>
        </w:tc>
        <w:tc>
          <w:tcPr>
            <w:tcW w:w="73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Illegality</w:t>
            </w:r>
          </w:p>
        </w:tc>
        <w:tc>
          <w:tcPr>
            <w:tcW w:w="1740" w:type="dxa"/>
            <w:vAlign w:val="bottom"/>
          </w:tcPr>
          <w:p>
            <w:pPr>
              <w:jc w:val="center"/>
              <w:ind w:right="632"/>
              <w:spacing w:after="0"/>
              <w:rPr>
                <w:sz w:val="20"/>
                <w:szCs w:val="20"/>
                <w:color w:val="auto"/>
              </w:rPr>
            </w:pPr>
            <w:r>
              <w:rPr>
                <w:rFonts w:ascii="Times New Roman" w:cs="Times New Roman" w:eastAsia="Times New Roman" w:hAnsi="Times New Roman"/>
                <w:sz w:val="22"/>
                <w:szCs w:val="22"/>
                <w:color w:val="auto"/>
                <w:w w:val="90"/>
              </w:rPr>
              <w:t>80</w:t>
            </w:r>
          </w:p>
        </w:tc>
        <w:tc>
          <w:tcPr>
            <w:tcW w:w="0" w:type="dxa"/>
            <w:vAlign w:val="bottom"/>
          </w:tcPr>
          <w:p>
            <w:pPr>
              <w:spacing w:after="0"/>
              <w:rPr>
                <w:sz w:val="1"/>
                <w:szCs w:val="1"/>
                <w:color w:val="auto"/>
              </w:rPr>
            </w:pPr>
          </w:p>
        </w:tc>
      </w:tr>
      <w:tr>
        <w:trPr>
          <w:trHeight w:val="1223"/>
        </w:trPr>
        <w:tc>
          <w:tcPr>
            <w:tcW w:w="220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53"/>
        </w:trPr>
        <w:tc>
          <w:tcPr>
            <w:tcW w:w="2240" w:type="dxa"/>
            <w:vAlign w:val="bottom"/>
          </w:tcPr>
          <w:p>
            <w:pPr>
              <w:spacing w:after="0"/>
              <w:rPr>
                <w:sz w:val="22"/>
                <w:szCs w:val="22"/>
                <w:color w:val="auto"/>
              </w:rPr>
            </w:pPr>
          </w:p>
        </w:tc>
        <w:tc>
          <w:tcPr>
            <w:tcW w:w="68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ARTICLE VI</w:t>
            </w:r>
          </w:p>
        </w:tc>
        <w:tc>
          <w:tcPr>
            <w:tcW w:w="2160" w:type="dxa"/>
            <w:vAlign w:val="bottom"/>
          </w:tcPr>
          <w:p>
            <w:pPr>
              <w:spacing w:after="0"/>
              <w:rPr>
                <w:sz w:val="22"/>
                <w:szCs w:val="22"/>
                <w:color w:val="auto"/>
              </w:rPr>
            </w:pPr>
          </w:p>
        </w:tc>
      </w:tr>
      <w:tr>
        <w:trPr>
          <w:trHeight w:val="243"/>
        </w:trPr>
        <w:tc>
          <w:tcPr>
            <w:tcW w:w="2240" w:type="dxa"/>
            <w:vAlign w:val="bottom"/>
          </w:tcPr>
          <w:p>
            <w:pPr>
              <w:spacing w:after="0"/>
              <w:rPr>
                <w:sz w:val="21"/>
                <w:szCs w:val="21"/>
                <w:color w:val="auto"/>
              </w:rPr>
            </w:pPr>
          </w:p>
        </w:tc>
        <w:tc>
          <w:tcPr>
            <w:tcW w:w="68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CONDITIONS PRECEDENT</w:t>
            </w:r>
          </w:p>
        </w:tc>
        <w:tc>
          <w:tcPr>
            <w:tcW w:w="2160" w:type="dxa"/>
            <w:vAlign w:val="bottom"/>
          </w:tcPr>
          <w:p>
            <w:pPr>
              <w:spacing w:after="0"/>
              <w:rPr>
                <w:sz w:val="21"/>
                <w:szCs w:val="21"/>
                <w:color w:val="auto"/>
              </w:rPr>
            </w:pP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6.01</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Effective Date</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80</w:t>
            </w:r>
          </w:p>
        </w:tc>
      </w:tr>
      <w:tr>
        <w:trPr>
          <w:trHeight w:val="282"/>
        </w:trPr>
        <w:tc>
          <w:tcPr>
            <w:tcW w:w="22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Section 6.02</w:t>
            </w:r>
          </w:p>
        </w:tc>
        <w:tc>
          <w:tcPr>
            <w:tcW w:w="6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Each Credit Event</w:t>
            </w:r>
          </w:p>
        </w:tc>
        <w:tc>
          <w:tcPr>
            <w:tcW w:w="216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0"/>
              </w:rPr>
              <w:t>84</w:t>
            </w:r>
          </w:p>
        </w:tc>
      </w:tr>
      <w:tr>
        <w:trPr>
          <w:trHeight w:val="433"/>
        </w:trPr>
        <w:tc>
          <w:tcPr>
            <w:tcW w:w="224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ARTICLE VII</w:t>
            </w:r>
          </w:p>
        </w:tc>
        <w:tc>
          <w:tcPr>
            <w:tcW w:w="2160" w:type="dxa"/>
            <w:vAlign w:val="bottom"/>
          </w:tcPr>
          <w:p>
            <w:pPr>
              <w:spacing w:after="0"/>
              <w:rPr>
                <w:sz w:val="24"/>
                <w:szCs w:val="24"/>
                <w:color w:val="auto"/>
              </w:rPr>
            </w:pPr>
          </w:p>
        </w:tc>
      </w:tr>
      <w:tr>
        <w:trPr>
          <w:trHeight w:val="243"/>
        </w:trPr>
        <w:tc>
          <w:tcPr>
            <w:tcW w:w="2240" w:type="dxa"/>
            <w:vAlign w:val="bottom"/>
          </w:tcPr>
          <w:p>
            <w:pPr>
              <w:spacing w:after="0"/>
              <w:rPr>
                <w:sz w:val="21"/>
                <w:szCs w:val="21"/>
                <w:color w:val="auto"/>
              </w:rPr>
            </w:pPr>
          </w:p>
        </w:tc>
        <w:tc>
          <w:tcPr>
            <w:tcW w:w="68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REPRESENTATIONS AND WARRANTIES</w:t>
            </w:r>
          </w:p>
        </w:tc>
        <w:tc>
          <w:tcPr>
            <w:tcW w:w="2160" w:type="dxa"/>
            <w:vAlign w:val="bottom"/>
          </w:tcPr>
          <w:p>
            <w:pPr>
              <w:spacing w:after="0"/>
              <w:rPr>
                <w:sz w:val="21"/>
                <w:szCs w:val="21"/>
                <w:color w:val="auto"/>
              </w:rPr>
            </w:pP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7.01</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Organization; Powers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84</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7.02</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Authority; Enforceability</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85</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7.03</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Approvals; No Conflicts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85</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7.04</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Financial Condition; No Material Adverse Effect</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85</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7.05</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86</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7.06</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86</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7.07</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Compliance with the Laws and Agreements; No Defaults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87</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7.08</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Investment Company Act</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88</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7.09</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88</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7.10</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ERISA</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88</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7.11</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Disclosure; No Material Misstatements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89</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7.12</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90</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7.13</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Restrictions on Liens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90</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7.14</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Subsidiaries; Equity Interests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91</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7.15</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Capitalization; Location of Business and Offices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91</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7.16</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Properties; Titles, Etc.</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91</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7.17</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Maintenance of Properties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93</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7.18</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Hedging Agreements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94</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7.19</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Security Instruments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94</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7.20</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Use of Loans and Letters of Credit</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94</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7.21</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Solvency</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95</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7.22</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Material Contracts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95</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7.23</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Anti-Terrorism Laws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95</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7.24</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Anti-Corruption Laws, Sanctions and Outbound Investment Rules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96</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7.25</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Affected Financial Institutions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96</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7.26</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Beneficial Ownership Regulation</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96</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7.27</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Labor Matters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96</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7.28</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Federal and State Regulation</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97</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7.29</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FERC and State Pipeline Regulatory Agencies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97</w:t>
            </w:r>
          </w:p>
        </w:tc>
      </w:tr>
      <w:tr>
        <w:trPr>
          <w:trHeight w:val="282"/>
        </w:trPr>
        <w:tc>
          <w:tcPr>
            <w:tcW w:w="22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Section 7.30</w:t>
            </w:r>
          </w:p>
        </w:tc>
        <w:tc>
          <w:tcPr>
            <w:tcW w:w="6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Title to Hydrocarbons</w:t>
            </w:r>
          </w:p>
        </w:tc>
        <w:tc>
          <w:tcPr>
            <w:tcW w:w="216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0"/>
              </w:rPr>
              <w:t>97</w:t>
            </w:r>
          </w:p>
        </w:tc>
      </w:tr>
      <w:tr>
        <w:trPr>
          <w:trHeight w:val="433"/>
        </w:trPr>
        <w:tc>
          <w:tcPr>
            <w:tcW w:w="224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ARTICLE VIII</w:t>
            </w:r>
          </w:p>
        </w:tc>
        <w:tc>
          <w:tcPr>
            <w:tcW w:w="2160" w:type="dxa"/>
            <w:vAlign w:val="bottom"/>
          </w:tcPr>
          <w:p>
            <w:pPr>
              <w:spacing w:after="0"/>
              <w:rPr>
                <w:sz w:val="24"/>
                <w:szCs w:val="24"/>
                <w:color w:val="auto"/>
              </w:rPr>
            </w:pPr>
          </w:p>
        </w:tc>
      </w:tr>
      <w:tr>
        <w:trPr>
          <w:trHeight w:val="243"/>
        </w:trPr>
        <w:tc>
          <w:tcPr>
            <w:tcW w:w="2240" w:type="dxa"/>
            <w:vAlign w:val="bottom"/>
          </w:tcPr>
          <w:p>
            <w:pPr>
              <w:spacing w:after="0"/>
              <w:rPr>
                <w:sz w:val="21"/>
                <w:szCs w:val="21"/>
                <w:color w:val="auto"/>
              </w:rPr>
            </w:pPr>
          </w:p>
        </w:tc>
        <w:tc>
          <w:tcPr>
            <w:tcW w:w="68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AFFIRMATIVE COVENANTS</w:t>
            </w:r>
          </w:p>
        </w:tc>
        <w:tc>
          <w:tcPr>
            <w:tcW w:w="2160" w:type="dxa"/>
            <w:vAlign w:val="bottom"/>
          </w:tcPr>
          <w:p>
            <w:pPr>
              <w:spacing w:after="0"/>
              <w:rPr>
                <w:sz w:val="21"/>
                <w:szCs w:val="21"/>
                <w:color w:val="auto"/>
              </w:rPr>
            </w:pP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8.01</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Financial Statements; Reporting and Certificates; Other Information</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0"/>
              </w:rPr>
              <w:t>98</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8.02</w:t>
            </w:r>
          </w:p>
        </w:tc>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Notices of Material Events</w:t>
            </w:r>
          </w:p>
        </w:tc>
        <w:tc>
          <w:tcPr>
            <w:tcW w:w="21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color w:val="auto"/>
                <w:w w:val="96"/>
              </w:rPr>
              <w:t>102</w:t>
            </w:r>
          </w:p>
        </w:tc>
      </w:tr>
      <w:tr>
        <w:trPr>
          <w:trHeight w:val="282"/>
        </w:trPr>
        <w:tc>
          <w:tcPr>
            <w:tcW w:w="22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Section 8.03</w:t>
            </w:r>
          </w:p>
        </w:tc>
        <w:tc>
          <w:tcPr>
            <w:tcW w:w="6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Existence; Conduct of Business</w:t>
            </w:r>
          </w:p>
        </w:tc>
        <w:tc>
          <w:tcPr>
            <w:tcW w:w="216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6"/>
              </w:rPr>
              <w:t>103</w:t>
            </w:r>
          </w:p>
        </w:tc>
      </w:tr>
      <w:tr>
        <w:trPr>
          <w:trHeight w:val="1953"/>
        </w:trPr>
        <w:tc>
          <w:tcPr>
            <w:tcW w:w="224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53"/>
        </w:trPr>
        <w:tc>
          <w:tcPr>
            <w:tcW w:w="22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Section 8.04</w:t>
            </w:r>
          </w:p>
        </w:tc>
        <w:tc>
          <w:tcPr>
            <w:tcW w:w="6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 of Obligations</w:t>
            </w:r>
          </w:p>
        </w:tc>
        <w:tc>
          <w:tcPr>
            <w:tcW w:w="204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103</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8.05</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Performance of Obligations under Loan Documents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8.06</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Operation and Maintenance of Properties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8.07</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104</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8.08</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Books and Records; Inspection Rights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104</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8.09</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Compliance with Laws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105</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8.10</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Compliance with Agreements; Maintenance of Material Contracts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105</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8.11</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105</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8.12</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Further Assurances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106</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8.13</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Title Information</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107</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8.14</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Additional Collateral; Additional Guarantors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107</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8.15</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ERISA Compliance</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109</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8.16</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Maintenance of Gathering Systems and Processing Plants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109</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8.17</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Designations of Unrestricted Subsidiaries and Loan Parties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109</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8.18</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Agreements Regarding Unrestricted Subsidiaries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111</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8.19</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Accounts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111</w:t>
            </w:r>
          </w:p>
        </w:tc>
      </w:tr>
      <w:tr>
        <w:trPr>
          <w:trHeight w:val="282"/>
        </w:trPr>
        <w:tc>
          <w:tcPr>
            <w:tcW w:w="22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Section 8.20</w:t>
            </w:r>
          </w:p>
        </w:tc>
        <w:tc>
          <w:tcPr>
            <w:tcW w:w="6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Post-Closing Covenant</w:t>
            </w:r>
          </w:p>
        </w:tc>
        <w:tc>
          <w:tcPr>
            <w:tcW w:w="204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112</w:t>
            </w:r>
          </w:p>
        </w:tc>
      </w:tr>
      <w:tr>
        <w:trPr>
          <w:trHeight w:val="433"/>
        </w:trPr>
        <w:tc>
          <w:tcPr>
            <w:tcW w:w="2240" w:type="dxa"/>
            <w:vAlign w:val="bottom"/>
          </w:tcPr>
          <w:p>
            <w:pPr>
              <w:spacing w:after="0"/>
              <w:rPr>
                <w:sz w:val="24"/>
                <w:szCs w:val="24"/>
                <w:color w:val="auto"/>
              </w:rPr>
            </w:pPr>
          </w:p>
        </w:tc>
        <w:tc>
          <w:tcPr>
            <w:tcW w:w="6960" w:type="dxa"/>
            <w:vAlign w:val="bottom"/>
          </w:tcPr>
          <w:p>
            <w:pPr>
              <w:ind w:left="2780"/>
              <w:spacing w:after="0"/>
              <w:rPr>
                <w:sz w:val="20"/>
                <w:szCs w:val="20"/>
                <w:color w:val="auto"/>
              </w:rPr>
            </w:pPr>
            <w:r>
              <w:rPr>
                <w:rFonts w:ascii="Times New Roman" w:cs="Times New Roman" w:eastAsia="Times New Roman" w:hAnsi="Times New Roman"/>
                <w:sz w:val="22"/>
                <w:szCs w:val="22"/>
                <w:color w:val="auto"/>
              </w:rPr>
              <w:t>ARTICLE IX</w:t>
            </w:r>
          </w:p>
        </w:tc>
        <w:tc>
          <w:tcPr>
            <w:tcW w:w="2040" w:type="dxa"/>
            <w:vAlign w:val="bottom"/>
          </w:tcPr>
          <w:p>
            <w:pPr>
              <w:spacing w:after="0"/>
              <w:rPr>
                <w:sz w:val="24"/>
                <w:szCs w:val="24"/>
                <w:color w:val="auto"/>
              </w:rPr>
            </w:pPr>
          </w:p>
        </w:tc>
      </w:tr>
      <w:tr>
        <w:trPr>
          <w:trHeight w:val="243"/>
        </w:trPr>
        <w:tc>
          <w:tcPr>
            <w:tcW w:w="2240" w:type="dxa"/>
            <w:vAlign w:val="bottom"/>
          </w:tcPr>
          <w:p>
            <w:pPr>
              <w:spacing w:after="0"/>
              <w:rPr>
                <w:sz w:val="21"/>
                <w:szCs w:val="21"/>
                <w:color w:val="auto"/>
              </w:rPr>
            </w:pPr>
          </w:p>
        </w:tc>
        <w:tc>
          <w:tcPr>
            <w:tcW w:w="6960" w:type="dxa"/>
            <w:vAlign w:val="bottom"/>
          </w:tcPr>
          <w:p>
            <w:pPr>
              <w:ind w:left="2160"/>
              <w:spacing w:after="0" w:line="243" w:lineRule="exact"/>
              <w:rPr>
                <w:sz w:val="20"/>
                <w:szCs w:val="20"/>
                <w:color w:val="auto"/>
              </w:rPr>
            </w:pPr>
            <w:r>
              <w:rPr>
                <w:rFonts w:ascii="Times New Roman" w:cs="Times New Roman" w:eastAsia="Times New Roman" w:hAnsi="Times New Roman"/>
                <w:sz w:val="22"/>
                <w:szCs w:val="22"/>
                <w:color w:val="auto"/>
              </w:rPr>
              <w:t>NEGATIVE COVENANTS</w:t>
            </w:r>
          </w:p>
        </w:tc>
        <w:tc>
          <w:tcPr>
            <w:tcW w:w="2040" w:type="dxa"/>
            <w:vAlign w:val="bottom"/>
          </w:tcPr>
          <w:p>
            <w:pPr>
              <w:spacing w:after="0"/>
              <w:rPr>
                <w:sz w:val="21"/>
                <w:szCs w:val="21"/>
                <w:color w:val="auto"/>
              </w:rPr>
            </w:pP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9.01</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Financial Covenants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112</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9.02</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Indebtedness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113</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9.03</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Liens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115</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9.04</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Restricted Payments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116</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9.05</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Investments, Loans, Advances and Acquisitions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117</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9.06</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Nature of Business; International Operations; Limitations Regarding</w:t>
            </w:r>
          </w:p>
        </w:tc>
        <w:tc>
          <w:tcPr>
            <w:tcW w:w="2040" w:type="dxa"/>
            <w:vAlign w:val="bottom"/>
          </w:tcPr>
          <w:p>
            <w:pPr>
              <w:spacing w:after="0"/>
              <w:rPr>
                <w:sz w:val="21"/>
                <w:szCs w:val="21"/>
                <w:color w:val="auto"/>
              </w:rPr>
            </w:pPr>
          </w:p>
        </w:tc>
      </w:tr>
      <w:tr>
        <w:trPr>
          <w:trHeight w:val="243"/>
        </w:trPr>
        <w:tc>
          <w:tcPr>
            <w:tcW w:w="2240" w:type="dxa"/>
            <w:vAlign w:val="bottom"/>
          </w:tcPr>
          <w:p>
            <w:pPr>
              <w:spacing w:after="0"/>
              <w:rPr>
                <w:sz w:val="21"/>
                <w:szCs w:val="21"/>
                <w:color w:val="auto"/>
              </w:rPr>
            </w:pP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Outbound Investment Rules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119</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9.07</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Proceeds of Loans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119</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9.08</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ERISA Compliance</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120</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9.09</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Sale or Discount of Receivables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121</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9.10</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Mergers, Etc</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121</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9.11</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Sale of Properties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122</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9.12</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123</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9.13</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123</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9.14</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Subsidiaries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123</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9.15</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Limitation on Issuance of Equity Interests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124</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9.16</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Negative Pledge Agreements; Dividend Restrictions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124</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9.17</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Hedging Agreements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125</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9.18</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Sale and Leaseback</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125</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9.19</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Amendments to Organization Documents, Material Contracts or Fiscal</w:t>
            </w:r>
          </w:p>
        </w:tc>
        <w:tc>
          <w:tcPr>
            <w:tcW w:w="2040" w:type="dxa"/>
            <w:vAlign w:val="bottom"/>
          </w:tcPr>
          <w:p>
            <w:pPr>
              <w:spacing w:after="0"/>
              <w:rPr>
                <w:sz w:val="21"/>
                <w:szCs w:val="21"/>
                <w:color w:val="auto"/>
              </w:rPr>
            </w:pPr>
          </w:p>
        </w:tc>
      </w:tr>
      <w:tr>
        <w:trPr>
          <w:trHeight w:val="243"/>
        </w:trPr>
        <w:tc>
          <w:tcPr>
            <w:tcW w:w="2240" w:type="dxa"/>
            <w:vAlign w:val="bottom"/>
          </w:tcPr>
          <w:p>
            <w:pPr>
              <w:spacing w:after="0"/>
              <w:rPr>
                <w:sz w:val="21"/>
                <w:szCs w:val="21"/>
                <w:color w:val="auto"/>
              </w:rPr>
            </w:pP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Year End; Prepayments of other Indebtedness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125</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9.20</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Hydrocarbon Marketing Activities</w:t>
            </w:r>
          </w:p>
        </w:tc>
        <w:tc>
          <w:tcPr>
            <w:tcW w:w="20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126</w:t>
            </w:r>
          </w:p>
        </w:tc>
      </w:tr>
      <w:tr>
        <w:trPr>
          <w:trHeight w:val="243"/>
        </w:trPr>
        <w:tc>
          <w:tcPr>
            <w:tcW w:w="2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9.21</w:t>
            </w:r>
          </w:p>
        </w:tc>
        <w:tc>
          <w:tcPr>
            <w:tcW w:w="69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Additional Deposit Accounts, Securities Accounts and Commodity</w:t>
            </w:r>
          </w:p>
        </w:tc>
        <w:tc>
          <w:tcPr>
            <w:tcW w:w="2040" w:type="dxa"/>
            <w:vAlign w:val="bottom"/>
          </w:tcPr>
          <w:p>
            <w:pPr>
              <w:spacing w:after="0"/>
              <w:rPr>
                <w:sz w:val="21"/>
                <w:szCs w:val="21"/>
                <w:color w:val="auto"/>
              </w:rPr>
            </w:pPr>
          </w:p>
        </w:tc>
      </w:tr>
      <w:tr>
        <w:trPr>
          <w:trHeight w:val="282"/>
        </w:trPr>
        <w:tc>
          <w:tcPr>
            <w:tcW w:w="2240" w:type="dxa"/>
            <w:vAlign w:val="bottom"/>
          </w:tcPr>
          <w:p>
            <w:pPr>
              <w:spacing w:after="0"/>
              <w:rPr>
                <w:sz w:val="24"/>
                <w:szCs w:val="24"/>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Accounts</w:t>
            </w:r>
          </w:p>
        </w:tc>
        <w:tc>
          <w:tcPr>
            <w:tcW w:w="204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126</w:t>
            </w:r>
          </w:p>
        </w:tc>
      </w:tr>
      <w:tr>
        <w:trPr>
          <w:trHeight w:val="1709"/>
        </w:trPr>
        <w:tc>
          <w:tcPr>
            <w:tcW w:w="224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2"/>
                <w:szCs w:val="22"/>
                <w:color w:val="auto"/>
              </w:rPr>
            </w:pPr>
          </w:p>
        </w:tc>
        <w:tc>
          <w:tcPr>
            <w:tcW w:w="712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7"/>
              </w:rPr>
              <w:t>ARTICLE X</w:t>
            </w: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7120" w:type="dxa"/>
            <w:vAlign w:val="bottom"/>
          </w:tcPr>
          <w:p>
            <w:pPr>
              <w:jc w:val="center"/>
              <w:ind w:right="372"/>
              <w:spacing w:after="0" w:line="243" w:lineRule="exact"/>
              <w:rPr>
                <w:sz w:val="20"/>
                <w:szCs w:val="20"/>
                <w:color w:val="auto"/>
              </w:rPr>
            </w:pPr>
            <w:r>
              <w:rPr>
                <w:rFonts w:ascii="Times New Roman" w:cs="Times New Roman" w:eastAsia="Times New Roman" w:hAnsi="Times New Roman"/>
                <w:sz w:val="22"/>
                <w:szCs w:val="22"/>
                <w:color w:val="auto"/>
                <w:w w:val="98"/>
              </w:rPr>
              <w:t>EVENTS OF DEFAULT; REMEDIES</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10.01   Events of Default</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127</w:t>
            </w:r>
          </w:p>
        </w:tc>
        <w:tc>
          <w:tcPr>
            <w:tcW w:w="0" w:type="dxa"/>
            <w:vAlign w:val="bottom"/>
          </w:tcPr>
          <w:p>
            <w:pPr>
              <w:spacing w:after="0"/>
              <w:rPr>
                <w:sz w:val="1"/>
                <w:szCs w:val="1"/>
                <w:color w:val="auto"/>
              </w:rPr>
            </w:pPr>
          </w:p>
        </w:tc>
      </w:tr>
      <w:tr>
        <w:trPr>
          <w:trHeight w:val="282"/>
        </w:trPr>
        <w:tc>
          <w:tcPr>
            <w:tcW w:w="23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Section 10.02</w:t>
            </w:r>
          </w:p>
        </w:tc>
        <w:tc>
          <w:tcPr>
            <w:tcW w:w="7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Remedies</w:t>
            </w:r>
          </w:p>
        </w:tc>
        <w:tc>
          <w:tcPr>
            <w:tcW w:w="182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129</w:t>
            </w:r>
          </w:p>
        </w:tc>
        <w:tc>
          <w:tcPr>
            <w:tcW w:w="0" w:type="dxa"/>
            <w:vAlign w:val="bottom"/>
          </w:tcPr>
          <w:p>
            <w:pPr>
              <w:spacing w:after="0"/>
              <w:rPr>
                <w:sz w:val="1"/>
                <w:szCs w:val="1"/>
                <w:color w:val="auto"/>
              </w:rPr>
            </w:pPr>
          </w:p>
        </w:tc>
      </w:tr>
      <w:tr>
        <w:trPr>
          <w:trHeight w:val="447"/>
        </w:trPr>
        <w:tc>
          <w:tcPr>
            <w:tcW w:w="2300" w:type="dxa"/>
            <w:vAlign w:val="bottom"/>
          </w:tcPr>
          <w:p>
            <w:pPr>
              <w:spacing w:after="0"/>
              <w:rPr>
                <w:sz w:val="24"/>
                <w:szCs w:val="24"/>
                <w:color w:val="auto"/>
              </w:rPr>
            </w:pPr>
          </w:p>
        </w:tc>
        <w:tc>
          <w:tcPr>
            <w:tcW w:w="712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8"/>
              </w:rPr>
              <w:t>ARTICLE XI</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7120" w:type="dxa"/>
            <w:vAlign w:val="bottom"/>
          </w:tcPr>
          <w:p>
            <w:pPr>
              <w:jc w:val="center"/>
              <w:ind w:right="372"/>
              <w:spacing w:after="0" w:line="243" w:lineRule="exact"/>
              <w:rPr>
                <w:sz w:val="20"/>
                <w:szCs w:val="20"/>
                <w:color w:val="auto"/>
              </w:rPr>
            </w:pPr>
            <w:r>
              <w:rPr>
                <w:rFonts w:ascii="Times New Roman" w:cs="Times New Roman" w:eastAsia="Times New Roman" w:hAnsi="Times New Roman"/>
                <w:sz w:val="22"/>
                <w:szCs w:val="22"/>
                <w:color w:val="auto"/>
                <w:w w:val="97"/>
              </w:rPr>
              <w:t>THE AGENTS</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11.01   Appointment and Authority</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130</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11.02   Rights as a Lender</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131</w:t>
            </w:r>
          </w:p>
        </w:tc>
        <w:tc>
          <w:tcPr>
            <w:tcW w:w="0" w:type="dxa"/>
            <w:vAlign w:val="bottom"/>
          </w:tcPr>
          <w:p>
            <w:pPr>
              <w:spacing w:after="0"/>
              <w:rPr>
                <w:sz w:val="1"/>
                <w:szCs w:val="1"/>
                <w:color w:val="auto"/>
              </w:rPr>
            </w:pPr>
          </w:p>
        </w:tc>
      </w:tr>
      <w:tr>
        <w:trPr>
          <w:trHeight w:val="243"/>
        </w:trPr>
        <w:tc>
          <w:tcPr>
            <w:tcW w:w="23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11.03</w:t>
            </w:r>
          </w:p>
        </w:tc>
        <w:tc>
          <w:tcPr>
            <w:tcW w:w="71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Exculpatory Provisions</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131</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11.04   Reliance by Administrative Agent</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132</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11.05   Delegation of Duties</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132</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11.06   Resignation of Administrative Agent</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132</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11.07   Non-Reliance on Administrative Agent and Other Lenders</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133</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11.08   No Other Duties, etc</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135</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11.09   Authority of Administrative Agent to Release Collateral and Liens</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135</w:t>
            </w:r>
          </w:p>
        </w:tc>
        <w:tc>
          <w:tcPr>
            <w:tcW w:w="0" w:type="dxa"/>
            <w:vAlign w:val="bottom"/>
          </w:tcPr>
          <w:p>
            <w:pPr>
              <w:spacing w:after="0"/>
              <w:rPr>
                <w:sz w:val="1"/>
                <w:szCs w:val="1"/>
                <w:color w:val="auto"/>
              </w:rPr>
            </w:pPr>
          </w:p>
        </w:tc>
      </w:tr>
      <w:tr>
        <w:trPr>
          <w:trHeight w:val="282"/>
        </w:trPr>
        <w:tc>
          <w:tcPr>
            <w:tcW w:w="23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Section 11.10</w:t>
            </w:r>
          </w:p>
        </w:tc>
        <w:tc>
          <w:tcPr>
            <w:tcW w:w="7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Erroneous Payments</w:t>
            </w:r>
          </w:p>
        </w:tc>
        <w:tc>
          <w:tcPr>
            <w:tcW w:w="182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136</w:t>
            </w:r>
          </w:p>
        </w:tc>
        <w:tc>
          <w:tcPr>
            <w:tcW w:w="0" w:type="dxa"/>
            <w:vAlign w:val="bottom"/>
          </w:tcPr>
          <w:p>
            <w:pPr>
              <w:spacing w:after="0"/>
              <w:rPr>
                <w:sz w:val="1"/>
                <w:szCs w:val="1"/>
                <w:color w:val="auto"/>
              </w:rPr>
            </w:pPr>
          </w:p>
        </w:tc>
      </w:tr>
      <w:tr>
        <w:trPr>
          <w:trHeight w:val="447"/>
        </w:trPr>
        <w:tc>
          <w:tcPr>
            <w:tcW w:w="2300" w:type="dxa"/>
            <w:vAlign w:val="bottom"/>
          </w:tcPr>
          <w:p>
            <w:pPr>
              <w:spacing w:after="0"/>
              <w:rPr>
                <w:sz w:val="24"/>
                <w:szCs w:val="24"/>
                <w:color w:val="auto"/>
              </w:rPr>
            </w:pPr>
          </w:p>
        </w:tc>
        <w:tc>
          <w:tcPr>
            <w:tcW w:w="7120" w:type="dxa"/>
            <w:vAlign w:val="bottom"/>
          </w:tcPr>
          <w:p>
            <w:pPr>
              <w:ind w:left="2140"/>
              <w:spacing w:after="0"/>
              <w:rPr>
                <w:sz w:val="20"/>
                <w:szCs w:val="20"/>
                <w:color w:val="auto"/>
              </w:rPr>
            </w:pPr>
            <w:r>
              <w:rPr>
                <w:rFonts w:ascii="Times New Roman" w:cs="Times New Roman" w:eastAsia="Times New Roman" w:hAnsi="Times New Roman"/>
                <w:sz w:val="22"/>
                <w:szCs w:val="22"/>
                <w:color w:val="auto"/>
              </w:rPr>
              <w:t>ARTICLE XII</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7120" w:type="dxa"/>
            <w:vAlign w:val="bottom"/>
          </w:tcPr>
          <w:p>
            <w:pPr>
              <w:ind w:left="1880"/>
              <w:spacing w:after="0" w:line="243" w:lineRule="exact"/>
              <w:rPr>
                <w:sz w:val="20"/>
                <w:szCs w:val="20"/>
                <w:color w:val="auto"/>
              </w:rPr>
            </w:pPr>
            <w:r>
              <w:rPr>
                <w:rFonts w:ascii="Times New Roman" w:cs="Times New Roman" w:eastAsia="Times New Roman" w:hAnsi="Times New Roman"/>
                <w:sz w:val="22"/>
                <w:szCs w:val="22"/>
                <w:color w:val="auto"/>
              </w:rPr>
              <w:t>MISCELLANEOUS</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12.01</w:t>
            </w:r>
          </w:p>
        </w:tc>
        <w:tc>
          <w:tcPr>
            <w:tcW w:w="71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137</w:t>
            </w:r>
          </w:p>
        </w:tc>
        <w:tc>
          <w:tcPr>
            <w:tcW w:w="0" w:type="dxa"/>
            <w:vAlign w:val="bottom"/>
          </w:tcPr>
          <w:p>
            <w:pPr>
              <w:spacing w:after="0"/>
              <w:rPr>
                <w:sz w:val="1"/>
                <w:szCs w:val="1"/>
                <w:color w:val="auto"/>
              </w:rPr>
            </w:pPr>
          </w:p>
        </w:tc>
      </w:tr>
      <w:tr>
        <w:trPr>
          <w:trHeight w:val="243"/>
        </w:trPr>
        <w:tc>
          <w:tcPr>
            <w:tcW w:w="23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12.02</w:t>
            </w:r>
          </w:p>
        </w:tc>
        <w:tc>
          <w:tcPr>
            <w:tcW w:w="71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Waivers; Amendments</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140</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12.03   Expenses, Indemnity; Damage Waiver</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141</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12.04   Assignments and Participations</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144</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12.05   Commodity Exchange Act Keepwell Provisions</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148</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12.06   Survival; Termination; Revival; Reinstatement</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148</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12.07   Counterparts; Integration; Effectiveness; Electronic Execution</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149</w:t>
            </w:r>
          </w:p>
        </w:tc>
        <w:tc>
          <w:tcPr>
            <w:tcW w:w="0" w:type="dxa"/>
            <w:vAlign w:val="bottom"/>
          </w:tcPr>
          <w:p>
            <w:pPr>
              <w:spacing w:after="0"/>
              <w:rPr>
                <w:sz w:val="1"/>
                <w:szCs w:val="1"/>
                <w:color w:val="auto"/>
              </w:rPr>
            </w:pPr>
          </w:p>
        </w:tc>
      </w:tr>
      <w:tr>
        <w:trPr>
          <w:trHeight w:val="243"/>
        </w:trPr>
        <w:tc>
          <w:tcPr>
            <w:tcW w:w="23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12.08</w:t>
            </w:r>
          </w:p>
        </w:tc>
        <w:tc>
          <w:tcPr>
            <w:tcW w:w="71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151</w:t>
            </w:r>
          </w:p>
        </w:tc>
        <w:tc>
          <w:tcPr>
            <w:tcW w:w="0" w:type="dxa"/>
            <w:vAlign w:val="bottom"/>
          </w:tcPr>
          <w:p>
            <w:pPr>
              <w:spacing w:after="0"/>
              <w:rPr>
                <w:sz w:val="1"/>
                <w:szCs w:val="1"/>
                <w:color w:val="auto"/>
              </w:rPr>
            </w:pPr>
          </w:p>
        </w:tc>
      </w:tr>
      <w:tr>
        <w:trPr>
          <w:trHeight w:val="243"/>
        </w:trPr>
        <w:tc>
          <w:tcPr>
            <w:tcW w:w="23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12.09</w:t>
            </w:r>
          </w:p>
        </w:tc>
        <w:tc>
          <w:tcPr>
            <w:tcW w:w="71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Right of Setoff</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151</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12.10   GOVERNING LAW; JURISDICTION; CONSENT TO SERVICE OF</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71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PROCESS; WAIVERS OF JURY TRIAL AND CERTAIN DAMAGES</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151</w:t>
            </w:r>
          </w:p>
        </w:tc>
        <w:tc>
          <w:tcPr>
            <w:tcW w:w="0" w:type="dxa"/>
            <w:vAlign w:val="bottom"/>
          </w:tcPr>
          <w:p>
            <w:pPr>
              <w:spacing w:after="0"/>
              <w:rPr>
                <w:sz w:val="1"/>
                <w:szCs w:val="1"/>
                <w:color w:val="auto"/>
              </w:rPr>
            </w:pPr>
          </w:p>
        </w:tc>
      </w:tr>
      <w:tr>
        <w:trPr>
          <w:trHeight w:val="243"/>
        </w:trPr>
        <w:tc>
          <w:tcPr>
            <w:tcW w:w="23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12.11</w:t>
            </w:r>
          </w:p>
        </w:tc>
        <w:tc>
          <w:tcPr>
            <w:tcW w:w="71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Headings</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153</w:t>
            </w:r>
          </w:p>
        </w:tc>
        <w:tc>
          <w:tcPr>
            <w:tcW w:w="0" w:type="dxa"/>
            <w:vAlign w:val="bottom"/>
          </w:tcPr>
          <w:p>
            <w:pPr>
              <w:spacing w:after="0"/>
              <w:rPr>
                <w:sz w:val="1"/>
                <w:szCs w:val="1"/>
                <w:color w:val="auto"/>
              </w:rPr>
            </w:pPr>
          </w:p>
        </w:tc>
      </w:tr>
      <w:tr>
        <w:trPr>
          <w:trHeight w:val="243"/>
        </w:trPr>
        <w:tc>
          <w:tcPr>
            <w:tcW w:w="23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12.12</w:t>
            </w:r>
          </w:p>
        </w:tc>
        <w:tc>
          <w:tcPr>
            <w:tcW w:w="71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Confidentiality</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153</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12.13   Interest Rate Limitation</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154</w:t>
            </w:r>
          </w:p>
        </w:tc>
        <w:tc>
          <w:tcPr>
            <w:tcW w:w="0" w:type="dxa"/>
            <w:vAlign w:val="bottom"/>
          </w:tcPr>
          <w:p>
            <w:pPr>
              <w:spacing w:after="0"/>
              <w:rPr>
                <w:sz w:val="1"/>
                <w:szCs w:val="1"/>
                <w:color w:val="auto"/>
              </w:rPr>
            </w:pPr>
          </w:p>
        </w:tc>
      </w:tr>
      <w:tr>
        <w:trPr>
          <w:trHeight w:val="243"/>
        </w:trPr>
        <w:tc>
          <w:tcPr>
            <w:tcW w:w="23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12.14</w:t>
            </w:r>
          </w:p>
        </w:tc>
        <w:tc>
          <w:tcPr>
            <w:tcW w:w="71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EXCULPATION PROVISIONS</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155</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12.15   Collateral Matters; Hedging Agreements; Treasury Management</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71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Agreements</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155</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12.16   No Third Party Beneficiaries</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155</w:t>
            </w: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12.17   USA Patriot Act Notice</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156</w:t>
            </w:r>
          </w:p>
        </w:tc>
        <w:tc>
          <w:tcPr>
            <w:tcW w:w="0" w:type="dxa"/>
            <w:vAlign w:val="bottom"/>
          </w:tcPr>
          <w:p>
            <w:pPr>
              <w:spacing w:after="0"/>
              <w:rPr>
                <w:sz w:val="1"/>
                <w:szCs w:val="1"/>
                <w:color w:val="auto"/>
              </w:rPr>
            </w:pPr>
          </w:p>
        </w:tc>
      </w:tr>
      <w:tr>
        <w:trPr>
          <w:trHeight w:val="282"/>
        </w:trPr>
        <w:tc>
          <w:tcPr>
            <w:tcW w:w="942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12.18   Acknowledgement and Consent to Bail-In of Affected Financial Institutions</w:t>
            </w:r>
          </w:p>
        </w:tc>
        <w:tc>
          <w:tcPr>
            <w:tcW w:w="1820" w:type="dxa"/>
            <w:vAlign w:val="bottom"/>
            <w:vMerge w:val="restart"/>
          </w:tcPr>
          <w:p>
            <w:pPr>
              <w:jc w:val="right"/>
              <w:ind w:right="972"/>
              <w:spacing w:after="0"/>
              <w:rPr>
                <w:sz w:val="20"/>
                <w:szCs w:val="20"/>
                <w:color w:val="auto"/>
              </w:rPr>
            </w:pPr>
            <w:r>
              <w:rPr>
                <w:rFonts w:ascii="Times New Roman" w:cs="Times New Roman" w:eastAsia="Times New Roman" w:hAnsi="Times New Roman"/>
                <w:sz w:val="22"/>
                <w:szCs w:val="22"/>
                <w:color w:val="auto"/>
              </w:rPr>
              <w:t>156</w:t>
            </w:r>
          </w:p>
        </w:tc>
        <w:tc>
          <w:tcPr>
            <w:tcW w:w="0" w:type="dxa"/>
            <w:vAlign w:val="bottom"/>
          </w:tcPr>
          <w:p>
            <w:pPr>
              <w:spacing w:after="0"/>
              <w:rPr>
                <w:sz w:val="1"/>
                <w:szCs w:val="1"/>
                <w:color w:val="auto"/>
              </w:rPr>
            </w:pPr>
          </w:p>
        </w:tc>
      </w:tr>
      <w:tr>
        <w:trPr>
          <w:trHeight w:val="204"/>
        </w:trPr>
        <w:tc>
          <w:tcPr>
            <w:tcW w:w="230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420" w:type="dxa"/>
            <w:vAlign w:val="bottom"/>
            <w:gridSpan w:val="2"/>
          </w:tcPr>
          <w:p>
            <w:pPr>
              <w:ind w:left="960"/>
              <w:spacing w:after="0" w:line="243" w:lineRule="exact"/>
              <w:rPr>
                <w:sz w:val="20"/>
                <w:szCs w:val="20"/>
                <w:color w:val="auto"/>
              </w:rPr>
            </w:pPr>
            <w:r>
              <w:rPr>
                <w:rFonts w:ascii="Times New Roman" w:cs="Times New Roman" w:eastAsia="Times New Roman" w:hAnsi="Times New Roman"/>
                <w:sz w:val="22"/>
                <w:szCs w:val="22"/>
                <w:color w:val="auto"/>
              </w:rPr>
              <w:t>Section 12.19   Certain ERISA Matters</w:t>
            </w:r>
          </w:p>
        </w:tc>
        <w:tc>
          <w:tcPr>
            <w:tcW w:w="18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156</w:t>
            </w:r>
          </w:p>
        </w:tc>
        <w:tc>
          <w:tcPr>
            <w:tcW w:w="0" w:type="dxa"/>
            <w:vAlign w:val="bottom"/>
          </w:tcPr>
          <w:p>
            <w:pPr>
              <w:spacing w:after="0"/>
              <w:rPr>
                <w:sz w:val="1"/>
                <w:szCs w:val="1"/>
                <w:color w:val="auto"/>
              </w:rPr>
            </w:pPr>
          </w:p>
        </w:tc>
      </w:tr>
      <w:tr>
        <w:trPr>
          <w:trHeight w:val="282"/>
        </w:trPr>
        <w:tc>
          <w:tcPr>
            <w:tcW w:w="942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12.20   Acknowledgement Regarding Any Supported QFCs</w:t>
            </w:r>
          </w:p>
        </w:tc>
        <w:tc>
          <w:tcPr>
            <w:tcW w:w="182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157</w:t>
            </w:r>
          </w:p>
        </w:tc>
        <w:tc>
          <w:tcPr>
            <w:tcW w:w="0" w:type="dxa"/>
            <w:vAlign w:val="bottom"/>
          </w:tcPr>
          <w:p>
            <w:pPr>
              <w:spacing w:after="0"/>
              <w:rPr>
                <w:sz w:val="1"/>
                <w:szCs w:val="1"/>
                <w:color w:val="auto"/>
              </w:rPr>
            </w:pPr>
          </w:p>
        </w:tc>
      </w:tr>
      <w:tr>
        <w:trPr>
          <w:trHeight w:val="1439"/>
        </w:trPr>
        <w:tc>
          <w:tcPr>
            <w:tcW w:w="230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31" w:name="page32"/>
    <w:bookmarkEnd w:id="31"/>
    <w:p>
      <w:pPr>
        <w:ind w:left="2780"/>
        <w:spacing w:after="0"/>
        <w:rPr>
          <w:sz w:val="20"/>
          <w:szCs w:val="20"/>
          <w:color w:val="auto"/>
        </w:rPr>
      </w:pPr>
      <w:r>
        <w:rPr>
          <w:rFonts w:ascii="Times New Roman" w:cs="Times New Roman" w:eastAsia="Times New Roman" w:hAnsi="Times New Roman"/>
          <w:sz w:val="21"/>
          <w:szCs w:val="21"/>
          <w:b w:val="1"/>
          <w:bCs w:val="1"/>
          <w:color w:val="auto"/>
        </w:rPr>
        <w:t>ANNEXES, EXHIBITS AND SCHEDULES</w:t>
      </w:r>
    </w:p>
    <w:p>
      <w:pPr>
        <w:sectPr>
          <w:pgSz w:w="11900" w:h="16838" w:orient="portrait"/>
          <w:cols w:equalWidth="0" w:num="1">
            <w:col w:w="9339"/>
          </w:cols>
          <w:pgMar w:left="1120" w:top="1080" w:right="1440" w:bottom="1440" w:gutter="0" w:footer="0" w:header="0"/>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Annex I</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Commitments</w:t>
      </w:r>
    </w:p>
    <w:p>
      <w:pPr>
        <w:spacing w:after="0" w:line="200" w:lineRule="exact"/>
        <w:rPr>
          <w:sz w:val="20"/>
          <w:szCs w:val="20"/>
          <w:color w:val="auto"/>
        </w:rPr>
      </w:pPr>
    </w:p>
    <w:p>
      <w:pPr>
        <w:sectPr>
          <w:pgSz w:w="11900" w:h="16838" w:orient="portrait"/>
          <w:cols w:equalWidth="0" w:num="2">
            <w:col w:w="1080" w:space="720"/>
            <w:col w:w="7539"/>
          </w:cols>
          <w:pgMar w:left="1120" w:top="1080" w:right="1440" w:bottom="1440" w:gutter="0" w:footer="0" w:header="0"/>
          <w:type w:val="continuous"/>
        </w:sectPr>
      </w:pPr>
    </w:p>
    <w:p>
      <w:pPr>
        <w:spacing w:after="0" w:line="28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21"/>
          <w:szCs w:val="21"/>
          <w:color w:val="auto"/>
        </w:rPr>
        <w:t>Exhibit A Exhibit B Exhibit C Exhibit D Exhibit E-1 Exhibit E-2 Exhibit E-3 Exhibit E-4 Exhibit F Exhibit G-1 Exhibit G-2 Exhibit H</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Note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Borrowing Request</w:t>
      </w:r>
    </w:p>
    <w:p>
      <w:pPr>
        <w:spacing w:after="0" w:line="230" w:lineRule="auto"/>
        <w:rPr>
          <w:sz w:val="20"/>
          <w:szCs w:val="20"/>
          <w:color w:val="auto"/>
        </w:rPr>
      </w:pPr>
      <w:r>
        <w:rPr>
          <w:rFonts w:ascii="Times New Roman" w:cs="Times New Roman" w:eastAsia="Times New Roman" w:hAnsi="Times New Roman"/>
          <w:sz w:val="22"/>
          <w:szCs w:val="22"/>
          <w:color w:val="auto"/>
        </w:rPr>
        <w:t>Form of Interest Election Request</w:t>
      </w:r>
    </w:p>
    <w:p>
      <w:pPr>
        <w:spacing w:after="0" w:line="231" w:lineRule="auto"/>
        <w:rPr>
          <w:sz w:val="20"/>
          <w:szCs w:val="20"/>
          <w:color w:val="auto"/>
        </w:rPr>
      </w:pPr>
      <w:r>
        <w:rPr>
          <w:rFonts w:ascii="Times New Roman" w:cs="Times New Roman" w:eastAsia="Times New Roman" w:hAnsi="Times New Roman"/>
          <w:sz w:val="22"/>
          <w:szCs w:val="22"/>
          <w:color w:val="auto"/>
        </w:rPr>
        <w:t>Form of Closing Certificate</w:t>
      </w:r>
    </w:p>
    <w:p>
      <w:pPr>
        <w:spacing w:after="0"/>
        <w:rPr>
          <w:sz w:val="20"/>
          <w:szCs w:val="20"/>
          <w:color w:val="auto"/>
        </w:rPr>
      </w:pPr>
      <w:r>
        <w:rPr>
          <w:rFonts w:ascii="Times New Roman" w:cs="Times New Roman" w:eastAsia="Times New Roman" w:hAnsi="Times New Roman"/>
          <w:sz w:val="21"/>
          <w:szCs w:val="21"/>
          <w:color w:val="auto"/>
        </w:rPr>
        <w:t>Form of U.S. Tax Compliance Certificate (Foreign Lenders; Not Partnerships)</w:t>
      </w:r>
    </w:p>
    <w:p>
      <w:pPr>
        <w:spacing w:after="0" w:line="231" w:lineRule="auto"/>
        <w:rPr>
          <w:sz w:val="20"/>
          <w:szCs w:val="20"/>
          <w:color w:val="auto"/>
        </w:rPr>
      </w:pPr>
      <w:r>
        <w:rPr>
          <w:rFonts w:ascii="Times New Roman" w:cs="Times New Roman" w:eastAsia="Times New Roman" w:hAnsi="Times New Roman"/>
          <w:sz w:val="22"/>
          <w:szCs w:val="22"/>
          <w:color w:val="auto"/>
        </w:rPr>
        <w:t>Form of U.S. Tax Compliance Certificate (Foreign Participants; Not</w:t>
      </w:r>
    </w:p>
    <w:p>
      <w:pPr>
        <w:spacing w:after="0" w:line="231" w:lineRule="auto"/>
        <w:rPr>
          <w:sz w:val="20"/>
          <w:szCs w:val="20"/>
          <w:color w:val="auto"/>
        </w:rPr>
      </w:pPr>
      <w:r>
        <w:rPr>
          <w:rFonts w:ascii="Times New Roman" w:cs="Times New Roman" w:eastAsia="Times New Roman" w:hAnsi="Times New Roman"/>
          <w:sz w:val="22"/>
          <w:szCs w:val="22"/>
          <w:color w:val="auto"/>
        </w:rPr>
        <w:t>Partnerships)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U.S. Tax Compliance Certificate (Foreign Participants; Partnerships)</w:t>
      </w:r>
    </w:p>
    <w:p>
      <w:pPr>
        <w:spacing w:after="0" w:line="231" w:lineRule="auto"/>
        <w:rPr>
          <w:sz w:val="20"/>
          <w:szCs w:val="20"/>
          <w:color w:val="auto"/>
        </w:rPr>
      </w:pPr>
      <w:r>
        <w:rPr>
          <w:rFonts w:ascii="Times New Roman" w:cs="Times New Roman" w:eastAsia="Times New Roman" w:hAnsi="Times New Roman"/>
          <w:sz w:val="22"/>
          <w:szCs w:val="22"/>
          <w:color w:val="auto"/>
        </w:rPr>
        <w:t>Form of U.S. Tax Compliance Certificate (Foreign Lenders; Partnerships)</w:t>
      </w:r>
    </w:p>
    <w:p>
      <w:pPr>
        <w:spacing w:after="0" w:line="231" w:lineRule="auto"/>
        <w:rPr>
          <w:sz w:val="20"/>
          <w:szCs w:val="20"/>
          <w:color w:val="auto"/>
        </w:rPr>
      </w:pPr>
      <w:r>
        <w:rPr>
          <w:rFonts w:ascii="Times New Roman" w:cs="Times New Roman" w:eastAsia="Times New Roman" w:hAnsi="Times New Roman"/>
          <w:sz w:val="22"/>
          <w:szCs w:val="22"/>
          <w:color w:val="auto"/>
        </w:rPr>
        <w:t>Form of Assignment and Assumption</w:t>
      </w:r>
    </w:p>
    <w:p>
      <w:pPr>
        <w:spacing w:after="0" w:line="231" w:lineRule="auto"/>
        <w:rPr>
          <w:sz w:val="20"/>
          <w:szCs w:val="20"/>
          <w:color w:val="auto"/>
        </w:rPr>
      </w:pPr>
      <w:r>
        <w:rPr>
          <w:rFonts w:ascii="Times New Roman" w:cs="Times New Roman" w:eastAsia="Times New Roman" w:hAnsi="Times New Roman"/>
          <w:sz w:val="22"/>
          <w:szCs w:val="22"/>
          <w:color w:val="auto"/>
        </w:rPr>
        <w:t>Form of Commitment Increase Agreement</w:t>
      </w:r>
    </w:p>
    <w:p>
      <w:pPr>
        <w:spacing w:after="0" w:line="230" w:lineRule="auto"/>
        <w:rPr>
          <w:sz w:val="20"/>
          <w:szCs w:val="20"/>
          <w:color w:val="auto"/>
        </w:rPr>
      </w:pPr>
      <w:r>
        <w:rPr>
          <w:rFonts w:ascii="Times New Roman" w:cs="Times New Roman" w:eastAsia="Times New Roman" w:hAnsi="Times New Roman"/>
          <w:sz w:val="22"/>
          <w:szCs w:val="22"/>
          <w:color w:val="auto"/>
        </w:rPr>
        <w:t>Form of Additional Lender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Compliance Certificate</w:t>
      </w:r>
    </w:p>
    <w:p>
      <w:pPr>
        <w:spacing w:after="0" w:line="208" w:lineRule="exact"/>
        <w:rPr>
          <w:sz w:val="20"/>
          <w:szCs w:val="20"/>
          <w:color w:val="auto"/>
        </w:rPr>
      </w:pPr>
    </w:p>
    <w:p>
      <w:pPr>
        <w:sectPr>
          <w:pgSz w:w="11900" w:h="16838" w:orient="portrait"/>
          <w:cols w:equalWidth="0" w:num="2">
            <w:col w:w="1080" w:space="720"/>
            <w:col w:w="7539"/>
          </w:cols>
          <w:pgMar w:left="1120" w:top="1080" w:right="1440" w:bottom="1440" w:gutter="0" w:footer="0" w:header="0"/>
          <w:type w:val="continuous"/>
        </w:sectPr>
      </w:pPr>
    </w:p>
    <w:p>
      <w:pPr>
        <w:spacing w:after="0" w:line="246" w:lineRule="auto"/>
        <w:rPr>
          <w:sz w:val="20"/>
          <w:szCs w:val="20"/>
          <w:color w:val="auto"/>
        </w:rPr>
      </w:pPr>
      <w:r>
        <w:rPr>
          <w:rFonts w:ascii="Times New Roman" w:cs="Times New Roman" w:eastAsia="Times New Roman" w:hAnsi="Times New Roman"/>
          <w:sz w:val="21"/>
          <w:szCs w:val="21"/>
          <w:color w:val="auto"/>
        </w:rPr>
        <w:t>Schedule 1.01(a) Schedule 7.14 Schedule 7.15 Schedule 7.18 Schedule 7.222 Schedule 7.27 Schedule 7.28 Schedule 8.20 Schedule 9.13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Specified Material Contracts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Subsidiaries</w:t>
      </w:r>
    </w:p>
    <w:p>
      <w:pPr>
        <w:spacing w:after="0"/>
        <w:rPr>
          <w:sz w:val="20"/>
          <w:szCs w:val="20"/>
          <w:color w:val="auto"/>
        </w:rPr>
      </w:pPr>
      <w:r>
        <w:rPr>
          <w:rFonts w:ascii="Times New Roman" w:cs="Times New Roman" w:eastAsia="Times New Roman" w:hAnsi="Times New Roman"/>
          <w:sz w:val="21"/>
          <w:szCs w:val="21"/>
          <w:color w:val="auto"/>
        </w:rPr>
        <w:t>Capitalization and Organizational Information of Loan Parties</w:t>
      </w:r>
    </w:p>
    <w:p>
      <w:pPr>
        <w:spacing w:after="0" w:line="231" w:lineRule="auto"/>
        <w:rPr>
          <w:sz w:val="20"/>
          <w:szCs w:val="20"/>
          <w:color w:val="auto"/>
        </w:rPr>
      </w:pPr>
      <w:r>
        <w:rPr>
          <w:rFonts w:ascii="Times New Roman" w:cs="Times New Roman" w:eastAsia="Times New Roman" w:hAnsi="Times New Roman"/>
          <w:sz w:val="22"/>
          <w:szCs w:val="22"/>
          <w:color w:val="auto"/>
        </w:rPr>
        <w:t>Hedging Agreements</w:t>
      </w:r>
    </w:p>
    <w:p>
      <w:pPr>
        <w:spacing w:after="0" w:line="231" w:lineRule="auto"/>
        <w:rPr>
          <w:sz w:val="20"/>
          <w:szCs w:val="20"/>
          <w:color w:val="auto"/>
        </w:rPr>
      </w:pPr>
      <w:r>
        <w:rPr>
          <w:rFonts w:ascii="Times New Roman" w:cs="Times New Roman" w:eastAsia="Times New Roman" w:hAnsi="Times New Roman"/>
          <w:sz w:val="22"/>
          <w:szCs w:val="22"/>
          <w:color w:val="auto"/>
        </w:rPr>
        <w:t>Material Contracts</w:t>
      </w:r>
    </w:p>
    <w:p>
      <w:pPr>
        <w:spacing w:after="0" w:line="231" w:lineRule="auto"/>
        <w:rPr>
          <w:sz w:val="20"/>
          <w:szCs w:val="20"/>
          <w:color w:val="auto"/>
        </w:rPr>
      </w:pPr>
      <w:r>
        <w:rPr>
          <w:rFonts w:ascii="Times New Roman" w:cs="Times New Roman" w:eastAsia="Times New Roman" w:hAnsi="Times New Roman"/>
          <w:sz w:val="22"/>
          <w:szCs w:val="22"/>
          <w:color w:val="auto"/>
        </w:rPr>
        <w:t>Labor Matters</w:t>
      </w:r>
    </w:p>
    <w:p>
      <w:pPr>
        <w:spacing w:after="0" w:line="230" w:lineRule="auto"/>
        <w:rPr>
          <w:sz w:val="20"/>
          <w:szCs w:val="20"/>
          <w:color w:val="auto"/>
        </w:rPr>
      </w:pPr>
      <w:r>
        <w:rPr>
          <w:rFonts w:ascii="Times New Roman" w:cs="Times New Roman" w:eastAsia="Times New Roman" w:hAnsi="Times New Roman"/>
          <w:sz w:val="22"/>
          <w:szCs w:val="22"/>
          <w:color w:val="auto"/>
        </w:rPr>
        <w:t>Interstate Pipelines</w:t>
      </w:r>
    </w:p>
    <w:p>
      <w:pPr>
        <w:spacing w:after="0" w:line="231" w:lineRule="auto"/>
        <w:rPr>
          <w:sz w:val="20"/>
          <w:szCs w:val="20"/>
          <w:color w:val="auto"/>
        </w:rPr>
      </w:pPr>
      <w:r>
        <w:rPr>
          <w:rFonts w:ascii="Times New Roman" w:cs="Times New Roman" w:eastAsia="Times New Roman" w:hAnsi="Times New Roman"/>
          <w:sz w:val="22"/>
          <w:szCs w:val="22"/>
          <w:color w:val="auto"/>
        </w:rPr>
        <w:t>Post-Closing Covenants</w:t>
      </w:r>
    </w:p>
    <w:p>
      <w:pPr>
        <w:spacing w:after="0"/>
        <w:rPr>
          <w:sz w:val="20"/>
          <w:szCs w:val="20"/>
          <w:color w:val="auto"/>
        </w:rPr>
      </w:pPr>
      <w:r>
        <w:rPr>
          <w:rFonts w:ascii="Times New Roman" w:cs="Times New Roman" w:eastAsia="Times New Roman" w:hAnsi="Times New Roman"/>
          <w:sz w:val="22"/>
          <w:szCs w:val="22"/>
          <w:color w:val="auto"/>
        </w:rPr>
        <w:t>Existing Affiliate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2923540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460" w:space="340"/>
            <w:col w:w="7539"/>
          </w:cols>
          <w:pgMar w:left="1120" w:top="1080" w:right="1440" w:bottom="1440" w:gutter="0" w:footer="0" w:header="0"/>
          <w:type w:val="continuous"/>
        </w:sectPr>
      </w:pPr>
    </w:p>
    <w:bookmarkStart w:id="32" w:name="page33"/>
    <w:bookmarkEnd w:id="32"/>
    <w:p>
      <w:pPr>
        <w:jc w:val="both"/>
        <w:ind w:right="399" w:firstLine="74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THIS CREDIT AGREEMENT </w:t>
      </w:r>
      <w:r>
        <w:rPr>
          <w:rFonts w:ascii="Times New Roman" w:cs="Times New Roman" w:eastAsia="Times New Roman" w:hAnsi="Times New Roman"/>
          <w:sz w:val="22"/>
          <w:szCs w:val="22"/>
          <w:color w:val="auto"/>
        </w:rPr>
        <w:t>dated as of March 26, 2026, is among: Pinnacle Gas 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LLC, a Delaware limited liability company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each of the Lenders from time to time party hereto; and Wells Fargo Bank, N.A. (in its individual capacity, “</w:t>
      </w:r>
      <w:r>
        <w:rPr>
          <w:rFonts w:ascii="Times New Roman" w:cs="Times New Roman" w:eastAsia="Times New Roman" w:hAnsi="Times New Roman"/>
          <w:sz w:val="22"/>
          <w:szCs w:val="22"/>
          <w:u w:val="single" w:color="auto"/>
          <w:color w:val="auto"/>
        </w:rPr>
        <w:t>Wells Fargo</w:t>
      </w:r>
      <w:r>
        <w:rPr>
          <w:rFonts w:ascii="Times New Roman" w:cs="Times New Roman" w:eastAsia="Times New Roman" w:hAnsi="Times New Roman"/>
          <w:sz w:val="22"/>
          <w:szCs w:val="22"/>
          <w:color w:val="auto"/>
        </w:rPr>
        <w:t>”), as administrative agent (in such capacity, together with its successors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for the Lenders (as defined below).</w:t>
      </w:r>
    </w:p>
    <w:p>
      <w:pPr>
        <w:spacing w:after="0" w:line="17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u w:val="single" w:color="auto"/>
          <w:color w:val="auto"/>
        </w:rPr>
        <w:t>R E C I T A L S</w:t>
      </w:r>
    </w:p>
    <w:p>
      <w:pPr>
        <w:spacing w:after="0" w:line="210" w:lineRule="exact"/>
        <w:rPr>
          <w:sz w:val="20"/>
          <w:szCs w:val="20"/>
          <w:color w:val="auto"/>
        </w:rPr>
      </w:pPr>
    </w:p>
    <w:p>
      <w:pPr>
        <w:ind w:right="399" w:firstLine="751"/>
        <w:spacing w:after="0" w:line="258" w:lineRule="auto"/>
        <w:tabs>
          <w:tab w:leader="none" w:pos="109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requested that the Lenders provide certain loans to and extensions of credit on behalf of the Borrower.</w:t>
      </w:r>
    </w:p>
    <w:p>
      <w:pPr>
        <w:spacing w:after="0" w:line="158" w:lineRule="exact"/>
        <w:rPr>
          <w:rFonts w:ascii="Times New Roman" w:cs="Times New Roman" w:eastAsia="Times New Roman" w:hAnsi="Times New Roman"/>
          <w:sz w:val="22"/>
          <w:szCs w:val="22"/>
          <w:color w:val="auto"/>
        </w:rPr>
      </w:pPr>
    </w:p>
    <w:p>
      <w:pPr>
        <w:ind w:right="399" w:firstLine="751"/>
        <w:spacing w:after="0" w:line="258" w:lineRule="auto"/>
        <w:tabs>
          <w:tab w:leader="none" w:pos="109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and the Issuing Bank have agreed to make such loans and extensions of credit subject to the terms and conditions of this Agreement.</w:t>
      </w:r>
    </w:p>
    <w:p>
      <w:pPr>
        <w:spacing w:after="0" w:line="158" w:lineRule="exact"/>
        <w:rPr>
          <w:rFonts w:ascii="Times New Roman" w:cs="Times New Roman" w:eastAsia="Times New Roman" w:hAnsi="Times New Roman"/>
          <w:sz w:val="22"/>
          <w:szCs w:val="22"/>
          <w:color w:val="auto"/>
        </w:rPr>
      </w:pPr>
    </w:p>
    <w:p>
      <w:pPr>
        <w:ind w:right="399" w:firstLine="751"/>
        <w:spacing w:after="0" w:line="258" w:lineRule="auto"/>
        <w:tabs>
          <w:tab w:leader="none" w:pos="109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mutual covenants and agreements herein contained and of the loans, extensions of credit and commitments hereinafter referred to, the parties hereto agree as follows:</w:t>
      </w:r>
    </w:p>
    <w:p>
      <w:pPr>
        <w:spacing w:after="0" w:line="15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Definitions and Accounting Matters</w:t>
      </w:r>
    </w:p>
    <w:p>
      <w:pPr>
        <w:spacing w:after="0" w:line="182"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As used in this Agreement, the following terms have the meanings specified below:</w:t>
      </w:r>
    </w:p>
    <w:p>
      <w:pPr>
        <w:spacing w:after="0" w:line="158"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are bearing interest at a rate determined by reference to the Alternate Base Rate.</w:t>
      </w:r>
    </w:p>
    <w:p>
      <w:pPr>
        <w:spacing w:after="0" w:line="173"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Control Agreement</w:t>
      </w:r>
      <w:r>
        <w:rPr>
          <w:rFonts w:ascii="Times New Roman" w:cs="Times New Roman" w:eastAsia="Times New Roman" w:hAnsi="Times New Roman"/>
          <w:sz w:val="22"/>
          <w:szCs w:val="22"/>
          <w:color w:val="auto"/>
        </w:rPr>
        <w:t>” means a control agreement, in form and substance reasonably satisfactory to the Administrative Agent, which grants the Administrative Agent “control” (within the meaning of sections 8-106, 9-104 or 9-106, as applicable, of the Uniform Commercial Code in effect in the applicable jurisdiction) over any Deposit Account, Securities Account or Commodity Account maintained by any Loan Party, in each case, among the Administrative Agent, the applicable Loan Party and the applicable financial institution at which such Deposit Account, Securities Account or Commodity Account is maintained.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Commitments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2.06(d)(i)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Lender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2.06(d)(i)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Lender Agreement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2.06(d)(ii)(F)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89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158" w:lineRule="exact"/>
        <w:rPr>
          <w:sz w:val="20"/>
          <w:szCs w:val="20"/>
          <w:color w:val="auto"/>
        </w:rPr>
      </w:pPr>
    </w:p>
    <w:p>
      <w:pPr>
        <w:ind w:right="113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by the Administrative Agent.</w:t>
      </w:r>
    </w:p>
    <w:p>
      <w:pPr>
        <w:spacing w:after="0" w:line="23" w:lineRule="exact"/>
        <w:rPr>
          <w:sz w:val="20"/>
          <w:szCs w:val="20"/>
          <w:color w:val="auto"/>
        </w:rPr>
      </w:pPr>
    </w:p>
    <w:p>
      <w:pPr>
        <w:ind w:right="1459" w:firstLine="749"/>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ind w:left="520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48" w:right="1440" w:bottom="1440" w:gutter="0" w:footer="0" w:header="0"/>
        </w:sectPr>
      </w:pPr>
    </w:p>
    <w:bookmarkStart w:id="33" w:name="page34"/>
    <w:bookmarkEnd w:id="33"/>
    <w:p>
      <w:pPr>
        <w:ind w:left="11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Loans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80" w:right="1500"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73" w:lineRule="exact"/>
        <w:rPr>
          <w:sz w:val="20"/>
          <w:szCs w:val="20"/>
          <w:color w:val="auto"/>
        </w:rPr>
      </w:pPr>
    </w:p>
    <w:p>
      <w:pPr>
        <w:ind w:left="380" w:right="32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xml:space="preserve">” have the meanings assigned to such terms in </w:t>
      </w:r>
      <w:r>
        <w:rPr>
          <w:rFonts w:ascii="Times New Roman" w:cs="Times New Roman" w:eastAsia="Times New Roman" w:hAnsi="Times New Roman"/>
          <w:sz w:val="22"/>
          <w:szCs w:val="22"/>
          <w:u w:val="single" w:color="auto"/>
          <w:color w:val="auto"/>
        </w:rPr>
        <w:t>Section 12.01(d)(ii)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380" w:right="1500" w:firstLine="74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Agents</w:t>
      </w:r>
      <w:r>
        <w:rPr>
          <w:rFonts w:ascii="Times New Roman" w:cs="Times New Roman" w:eastAsia="Times New Roman" w:hAnsi="Times New Roman"/>
          <w:sz w:val="21"/>
          <w:szCs w:val="21"/>
          <w:color w:val="auto"/>
        </w:rPr>
        <w:t>” means, collectively, the Administrative Agent, the Arranger and any syndication, documentation, or other agent appointed from time to time in connection with this Agreement; and “Agent” means any one of the Administrative Agent, the Arranger and such other agents, as the context requires.</w:t>
      </w:r>
    </w:p>
    <w:p>
      <w:pPr>
        <w:spacing w:after="0" w:line="157" w:lineRule="exact"/>
        <w:rPr>
          <w:sz w:val="20"/>
          <w:szCs w:val="20"/>
          <w:color w:val="auto"/>
        </w:rPr>
      </w:pPr>
    </w:p>
    <w:p>
      <w:pPr>
        <w:ind w:left="380" w:right="30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Credit Agreement, as the same may from time to time be amended, modified, supplemented or restated.</w:t>
      </w:r>
    </w:p>
    <w:p>
      <w:pPr>
        <w:spacing w:after="0" w:line="158" w:lineRule="exact"/>
        <w:rPr>
          <w:sz w:val="20"/>
          <w:szCs w:val="20"/>
          <w:color w:val="auto"/>
        </w:rPr>
      </w:pPr>
    </w:p>
    <w:p>
      <w:pPr>
        <w:jc w:val="both"/>
        <w:ind w:left="380" w:right="1500" w:firstLine="74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xml:space="preserve">” means, for any day, a rate per annum (rounded upwards, if necessary, to the next 1/100 of 1%) equal to the greatest of (a) the Prime Rate in effect on such day, (b) the Federal Funds Effective Rate in effect on such day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0.50% and (c) the Term SOFR for a one-month Interest Period beginning on such day (or if such day is not a Business Day, the immediately preceding Business Day)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1.00%;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of this definition shall not be applicable during any period in which the Term SOFR is unavailable or unascertainable. Any change in the Alternate Base Rate due to a change in the Prime Rate, the Federal Funds Effective Rate or the Term SOFR shall be effective from and including the effective date of such change in the Prime Rate, the Federal Funds Effective Rate or the Term SOFR, respectively. For the avoidance of doubt, if the Alternate Base Rate shall be less than 1.00%, such rate shall be deemed to be 1.00% for purposes of this Agreement.</w:t>
      </w:r>
    </w:p>
    <w:p>
      <w:pPr>
        <w:spacing w:after="0" w:line="179" w:lineRule="exact"/>
        <w:rPr>
          <w:sz w:val="20"/>
          <w:szCs w:val="20"/>
          <w:color w:val="auto"/>
        </w:rPr>
      </w:pPr>
    </w:p>
    <w:p>
      <w:pPr>
        <w:jc w:val="both"/>
        <w:ind w:left="380" w:right="1500"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Annualized EBITDA</w:t>
      </w:r>
      <w:r>
        <w:rPr>
          <w:rFonts w:ascii="Times New Roman" w:cs="Times New Roman" w:eastAsia="Times New Roman" w:hAnsi="Times New Roman"/>
          <w:sz w:val="22"/>
          <w:szCs w:val="22"/>
          <w:color w:val="auto"/>
        </w:rPr>
        <w:t xml:space="preserve">” means, for the purposes of calculating the Consolidated Interest Coverage Ratio and the Consolidated Net Leverage Ratio for each Rolling Period ending on or prior to December 31, 2026, the sum of (a) (i) Unadjusted Consolidated EBITDA for such Rolling Period (without giving effect to any cure amount received by the Borrower pursuant to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 xml:space="preserve"> during such Rolling Period) </w:t>
      </w:r>
      <w:r>
        <w:rPr>
          <w:rFonts w:ascii="Times New Roman" w:cs="Times New Roman" w:eastAsia="Times New Roman" w:hAnsi="Times New Roman"/>
          <w:sz w:val="22"/>
          <w:szCs w:val="22"/>
          <w:i w:val="1"/>
          <w:iCs w:val="1"/>
          <w:color w:val="auto"/>
        </w:rPr>
        <w:t xml:space="preserve">multiplied </w:t>
      </w:r>
      <w:r>
        <w:rPr>
          <w:rFonts w:ascii="Times New Roman" w:cs="Times New Roman" w:eastAsia="Times New Roman" w:hAnsi="Times New Roman"/>
          <w:sz w:val="22"/>
          <w:szCs w:val="22"/>
          <w:color w:val="auto"/>
        </w:rPr>
        <w:t>by (ii) the factor for such Rolling Period set forth in the table below,</w:t>
      </w:r>
      <w:r>
        <w:rPr>
          <w:rFonts w:ascii="Times New Roman" w:cs="Times New Roman" w:eastAsia="Times New Roman" w:hAnsi="Times New Roman"/>
          <w:sz w:val="22"/>
          <w:szCs w:val="22"/>
          <w:i w:val="1"/>
          <w:iCs w:val="1"/>
          <w:color w:val="auto"/>
        </w:rPr>
        <w:t xml:space="preserve"> plus </w:t>
      </w:r>
      <w:r>
        <w:rPr>
          <w:rFonts w:ascii="Times New Roman" w:cs="Times New Roman" w:eastAsia="Times New Roman" w:hAnsi="Times New Roman"/>
          <w:sz w:val="22"/>
          <w:szCs w:val="22"/>
          <w:color w:val="auto"/>
        </w:rPr>
        <w:t>(b) the amount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Material Project EBITDA Adjustments (in accordance with and subject to the limitations with respect thereto set forth in the definition of “Consolidated EBITDA”),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(c) the amount of any Equity Cure Amount: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300" w:type="dxa"/>
            <w:vAlign w:val="bottom"/>
            <w:tcBorders>
              <w:right w:val="single" w:sz="8" w:color="auto"/>
            </w:tcBorders>
          </w:tcPr>
          <w:p>
            <w:pPr>
              <w:spacing w:after="0"/>
              <w:rPr>
                <w:sz w:val="19"/>
                <w:szCs w:val="19"/>
                <w:color w:val="auto"/>
              </w:rPr>
            </w:pPr>
          </w:p>
        </w:tc>
        <w:tc>
          <w:tcPr>
            <w:tcW w:w="2720" w:type="dxa"/>
            <w:vAlign w:val="bottom"/>
            <w:tcBorders>
              <w:top w:val="single" w:sz="8" w:color="auto"/>
              <w:right w:val="single" w:sz="8" w:color="auto"/>
            </w:tcBorders>
            <w:gridSpan w:val="3"/>
          </w:tcPr>
          <w:p>
            <w:pPr>
              <w:jc w:val="center"/>
              <w:ind w:right="20"/>
              <w:spacing w:after="0" w:line="220" w:lineRule="exact"/>
              <w:rPr>
                <w:sz w:val="20"/>
                <w:szCs w:val="20"/>
                <w:color w:val="auto"/>
              </w:rPr>
            </w:pPr>
            <w:r>
              <w:rPr>
                <w:rFonts w:ascii="Times New Roman" w:cs="Times New Roman" w:eastAsia="Times New Roman" w:hAnsi="Times New Roman"/>
                <w:sz w:val="22"/>
                <w:szCs w:val="22"/>
                <w:color w:val="auto"/>
                <w:w w:val="97"/>
              </w:rPr>
              <w:t>Rolling Period Ending</w:t>
            </w:r>
          </w:p>
        </w:tc>
        <w:tc>
          <w:tcPr>
            <w:tcW w:w="1300" w:type="dxa"/>
            <w:vAlign w:val="bottom"/>
            <w:tcBorders>
              <w:top w:val="single" w:sz="8" w:color="auto"/>
            </w:tcBorders>
          </w:tcPr>
          <w:p>
            <w:pPr>
              <w:spacing w:after="0"/>
              <w:rPr>
                <w:sz w:val="19"/>
                <w:szCs w:val="19"/>
                <w:color w:val="auto"/>
              </w:rPr>
            </w:pPr>
          </w:p>
        </w:tc>
        <w:tc>
          <w:tcPr>
            <w:tcW w:w="1920" w:type="dxa"/>
            <w:vAlign w:val="bottom"/>
            <w:tcBorders>
              <w:top w:val="single" w:sz="8" w:color="auto"/>
              <w:right w:val="single" w:sz="8" w:color="auto"/>
            </w:tcBorders>
            <w:gridSpan w:val="2"/>
          </w:tcPr>
          <w:p>
            <w:pPr>
              <w:jc w:val="center"/>
              <w:ind w:right="1360"/>
              <w:spacing w:after="0" w:line="220" w:lineRule="exact"/>
              <w:rPr>
                <w:sz w:val="20"/>
                <w:szCs w:val="20"/>
                <w:color w:val="auto"/>
              </w:rPr>
            </w:pPr>
            <w:r>
              <w:rPr>
                <w:rFonts w:ascii="Times New Roman" w:cs="Times New Roman" w:eastAsia="Times New Roman" w:hAnsi="Times New Roman"/>
                <w:sz w:val="22"/>
                <w:szCs w:val="22"/>
                <w:color w:val="auto"/>
                <w:w w:val="99"/>
              </w:rPr>
              <w:t>Factor</w:t>
            </w:r>
          </w:p>
        </w:tc>
        <w:tc>
          <w:tcPr>
            <w:tcW w:w="3000" w:type="dxa"/>
            <w:vAlign w:val="bottom"/>
          </w:tcPr>
          <w:p>
            <w:pPr>
              <w:spacing w:after="0"/>
              <w:rPr>
                <w:sz w:val="19"/>
                <w:szCs w:val="19"/>
                <w:color w:val="auto"/>
              </w:rPr>
            </w:pPr>
          </w:p>
        </w:tc>
      </w:tr>
      <w:tr>
        <w:trPr>
          <w:trHeight w:val="260"/>
        </w:trPr>
        <w:tc>
          <w:tcPr>
            <w:tcW w:w="2300" w:type="dxa"/>
            <w:vAlign w:val="bottom"/>
            <w:tcBorders>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40" w:type="dxa"/>
            <w:vAlign w:val="bottom"/>
            <w:tcBorders>
              <w:top w:val="single" w:sz="8" w:color="auto"/>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3000" w:type="dxa"/>
            <w:vAlign w:val="bottom"/>
          </w:tcPr>
          <w:p>
            <w:pPr>
              <w:spacing w:after="0"/>
              <w:rPr>
                <w:sz w:val="22"/>
                <w:szCs w:val="22"/>
                <w:color w:val="auto"/>
              </w:rPr>
            </w:pPr>
          </w:p>
        </w:tc>
      </w:tr>
      <w:tr>
        <w:trPr>
          <w:trHeight w:val="242"/>
        </w:trPr>
        <w:tc>
          <w:tcPr>
            <w:tcW w:w="230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340" w:type="dxa"/>
            <w:vAlign w:val="bottom"/>
            <w:tcBorders>
              <w:right w:val="single" w:sz="8" w:color="auto"/>
            </w:tcBorders>
            <w:gridSpan w:val="2"/>
          </w:tcPr>
          <w:p>
            <w:pPr>
              <w:jc w:val="center"/>
              <w:ind w:right="420"/>
              <w:spacing w:after="0" w:line="243" w:lineRule="exact"/>
              <w:rPr>
                <w:sz w:val="20"/>
                <w:szCs w:val="20"/>
                <w:color w:val="auto"/>
              </w:rPr>
            </w:pPr>
            <w:r>
              <w:rPr>
                <w:rFonts w:ascii="Times New Roman" w:cs="Times New Roman" w:eastAsia="Times New Roman" w:hAnsi="Times New Roman"/>
                <w:sz w:val="22"/>
                <w:szCs w:val="22"/>
                <w:color w:val="auto"/>
                <w:w w:val="97"/>
              </w:rPr>
              <w:t>June 30, 2026</w:t>
            </w:r>
          </w:p>
        </w:tc>
        <w:tc>
          <w:tcPr>
            <w:tcW w:w="1860" w:type="dxa"/>
            <w:vAlign w:val="bottom"/>
            <w:gridSpan w:val="2"/>
          </w:tcPr>
          <w:p>
            <w:pPr>
              <w:jc w:val="center"/>
              <w:ind w:left="1215"/>
              <w:spacing w:after="0" w:line="243" w:lineRule="exact"/>
              <w:rPr>
                <w:sz w:val="20"/>
                <w:szCs w:val="20"/>
                <w:color w:val="auto"/>
              </w:rPr>
            </w:pPr>
            <w:r>
              <w:rPr>
                <w:rFonts w:ascii="Times New Roman" w:cs="Times New Roman" w:eastAsia="Times New Roman" w:hAnsi="Times New Roman"/>
                <w:sz w:val="22"/>
                <w:szCs w:val="22"/>
                <w:color w:val="auto"/>
                <w:w w:val="90"/>
              </w:rPr>
              <w:t>4</w:t>
            </w:r>
          </w:p>
        </w:tc>
        <w:tc>
          <w:tcPr>
            <w:tcW w:w="1360" w:type="dxa"/>
            <w:vAlign w:val="bottom"/>
            <w:tcBorders>
              <w:right w:val="single" w:sz="8" w:color="auto"/>
            </w:tcBorders>
          </w:tcPr>
          <w:p>
            <w:pPr>
              <w:spacing w:after="0"/>
              <w:rPr>
                <w:sz w:val="21"/>
                <w:szCs w:val="21"/>
                <w:color w:val="auto"/>
              </w:rPr>
            </w:pPr>
          </w:p>
        </w:tc>
        <w:tc>
          <w:tcPr>
            <w:tcW w:w="3000" w:type="dxa"/>
            <w:vAlign w:val="bottom"/>
          </w:tcPr>
          <w:p>
            <w:pPr>
              <w:spacing w:after="0"/>
              <w:rPr>
                <w:sz w:val="21"/>
                <w:szCs w:val="21"/>
                <w:color w:val="auto"/>
              </w:rPr>
            </w:pPr>
          </w:p>
        </w:tc>
      </w:tr>
      <w:tr>
        <w:trPr>
          <w:trHeight w:val="173"/>
        </w:trPr>
        <w:tc>
          <w:tcPr>
            <w:tcW w:w="2300" w:type="dxa"/>
            <w:vAlign w:val="bottom"/>
            <w:tcBorders>
              <w:right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3000" w:type="dxa"/>
            <w:vAlign w:val="bottom"/>
          </w:tcPr>
          <w:p>
            <w:pPr>
              <w:spacing w:after="0"/>
              <w:rPr>
                <w:sz w:val="15"/>
                <w:szCs w:val="15"/>
                <w:color w:val="auto"/>
              </w:rPr>
            </w:pPr>
          </w:p>
        </w:tc>
      </w:tr>
      <w:tr>
        <w:trPr>
          <w:trHeight w:val="276"/>
        </w:trPr>
        <w:tc>
          <w:tcPr>
            <w:tcW w:w="230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2340" w:type="dxa"/>
            <w:vAlign w:val="bottom"/>
            <w:tcBorders>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22"/>
                <w:szCs w:val="22"/>
                <w:color w:val="auto"/>
                <w:w w:val="97"/>
              </w:rPr>
              <w:t>September 30, 2026</w:t>
            </w:r>
          </w:p>
        </w:tc>
        <w:tc>
          <w:tcPr>
            <w:tcW w:w="1860" w:type="dxa"/>
            <w:vAlign w:val="bottom"/>
            <w:gridSpan w:val="2"/>
          </w:tcPr>
          <w:p>
            <w:pPr>
              <w:jc w:val="center"/>
              <w:ind w:left="1215"/>
              <w:spacing w:after="0"/>
              <w:rPr>
                <w:sz w:val="20"/>
                <w:szCs w:val="20"/>
                <w:color w:val="auto"/>
              </w:rPr>
            </w:pPr>
            <w:r>
              <w:rPr>
                <w:rFonts w:ascii="Times New Roman" w:cs="Times New Roman" w:eastAsia="Times New Roman" w:hAnsi="Times New Roman"/>
                <w:sz w:val="22"/>
                <w:szCs w:val="22"/>
                <w:color w:val="auto"/>
                <w:w w:val="90"/>
              </w:rPr>
              <w:t>2</w:t>
            </w:r>
          </w:p>
        </w:tc>
        <w:tc>
          <w:tcPr>
            <w:tcW w:w="1360" w:type="dxa"/>
            <w:vAlign w:val="bottom"/>
            <w:tcBorders>
              <w:right w:val="single" w:sz="8" w:color="auto"/>
            </w:tcBorders>
          </w:tcPr>
          <w:p>
            <w:pPr>
              <w:spacing w:after="0"/>
              <w:rPr>
                <w:sz w:val="23"/>
                <w:szCs w:val="23"/>
                <w:color w:val="auto"/>
              </w:rPr>
            </w:pPr>
          </w:p>
        </w:tc>
        <w:tc>
          <w:tcPr>
            <w:tcW w:w="3000" w:type="dxa"/>
            <w:vAlign w:val="bottom"/>
          </w:tcPr>
          <w:p>
            <w:pPr>
              <w:spacing w:after="0"/>
              <w:rPr>
                <w:sz w:val="23"/>
                <w:szCs w:val="23"/>
                <w:color w:val="auto"/>
              </w:rPr>
            </w:pPr>
          </w:p>
        </w:tc>
      </w:tr>
      <w:tr>
        <w:trPr>
          <w:trHeight w:val="177"/>
        </w:trPr>
        <w:tc>
          <w:tcPr>
            <w:tcW w:w="2300" w:type="dxa"/>
            <w:vAlign w:val="bottom"/>
            <w:tcBorders>
              <w:right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3000" w:type="dxa"/>
            <w:vAlign w:val="bottom"/>
          </w:tcPr>
          <w:p>
            <w:pPr>
              <w:spacing w:after="0"/>
              <w:rPr>
                <w:sz w:val="15"/>
                <w:szCs w:val="15"/>
                <w:color w:val="auto"/>
              </w:rPr>
            </w:pPr>
          </w:p>
        </w:tc>
      </w:tr>
      <w:tr>
        <w:trPr>
          <w:trHeight w:val="445"/>
        </w:trPr>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35"/>
              <w:spacing w:after="0"/>
              <w:rPr>
                <w:sz w:val="20"/>
                <w:szCs w:val="20"/>
                <w:color w:val="auto"/>
              </w:rPr>
            </w:pPr>
            <w:r>
              <w:rPr>
                <w:rFonts w:ascii="Times New Roman" w:cs="Times New Roman" w:eastAsia="Times New Roman" w:hAnsi="Times New Roman"/>
                <w:sz w:val="20"/>
                <w:szCs w:val="20"/>
                <w:color w:val="auto"/>
              </w:rPr>
              <w:t>2</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1054"/>
        </w:trPr>
        <w:tc>
          <w:tcPr>
            <w:tcW w:w="2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34" w:name="page35"/>
    <w:bookmarkEnd w:id="34"/>
    <w:tbl>
      <w:tblPr>
        <w:tblLayout w:type="fixed"/>
        <w:tblInd w:w="2050" w:type="dxa"/>
        <w:tblCellMar>
          <w:top w:w="0" w:type="dxa"/>
          <w:left w:w="0" w:type="dxa"/>
          <w:bottom w:w="0" w:type="dxa"/>
          <w:right w:w="0" w:type="dxa"/>
        </w:tblCellMar>
      </w:tblPr>
      <w:tr>
        <w:trPr>
          <w:trHeight w:val="219"/>
        </w:trPr>
        <w:tc>
          <w:tcPr>
            <w:tcW w:w="2720" w:type="dxa"/>
            <w:vAlign w:val="bottom"/>
            <w:tcBorders>
              <w:top w:val="single" w:sz="8" w:color="auto"/>
              <w:left w:val="single" w:sz="8" w:color="auto"/>
              <w:right w:val="single" w:sz="8" w:color="auto"/>
            </w:tcBorders>
            <w:gridSpan w:val="3"/>
          </w:tcPr>
          <w:p>
            <w:pPr>
              <w:jc w:val="center"/>
              <w:spacing w:after="0" w:line="220" w:lineRule="exact"/>
              <w:rPr>
                <w:sz w:val="20"/>
                <w:szCs w:val="20"/>
                <w:color w:val="auto"/>
              </w:rPr>
            </w:pPr>
            <w:r>
              <w:rPr>
                <w:rFonts w:ascii="Times New Roman" w:cs="Times New Roman" w:eastAsia="Times New Roman" w:hAnsi="Times New Roman"/>
                <w:sz w:val="22"/>
                <w:szCs w:val="22"/>
                <w:color w:val="auto"/>
                <w:w w:val="97"/>
              </w:rPr>
              <w:t>Rolling Period Ending</w:t>
            </w:r>
          </w:p>
        </w:tc>
        <w:tc>
          <w:tcPr>
            <w:tcW w:w="1320" w:type="dxa"/>
            <w:vAlign w:val="bottom"/>
            <w:tcBorders>
              <w:top w:val="single" w:sz="8" w:color="auto"/>
            </w:tcBorders>
          </w:tcPr>
          <w:p>
            <w:pPr>
              <w:spacing w:after="0"/>
              <w:rPr>
                <w:sz w:val="19"/>
                <w:szCs w:val="19"/>
                <w:color w:val="auto"/>
              </w:rPr>
            </w:pPr>
          </w:p>
        </w:tc>
        <w:tc>
          <w:tcPr>
            <w:tcW w:w="1920" w:type="dxa"/>
            <w:vAlign w:val="bottom"/>
            <w:tcBorders>
              <w:top w:val="single" w:sz="8" w:color="auto"/>
              <w:right w:val="single" w:sz="8" w:color="auto"/>
            </w:tcBorders>
            <w:gridSpan w:val="2"/>
          </w:tcPr>
          <w:p>
            <w:pPr>
              <w:jc w:val="center"/>
              <w:ind w:right="1360"/>
              <w:spacing w:after="0" w:line="220" w:lineRule="exact"/>
              <w:rPr>
                <w:sz w:val="20"/>
                <w:szCs w:val="20"/>
                <w:color w:val="auto"/>
              </w:rPr>
            </w:pPr>
            <w:r>
              <w:rPr>
                <w:rFonts w:ascii="Times New Roman" w:cs="Times New Roman" w:eastAsia="Times New Roman" w:hAnsi="Times New Roman"/>
                <w:sz w:val="22"/>
                <w:szCs w:val="22"/>
                <w:color w:val="auto"/>
                <w:w w:val="99"/>
              </w:rPr>
              <w:t>Factor</w:t>
            </w:r>
          </w:p>
        </w:tc>
      </w:tr>
      <w:tr>
        <w:trPr>
          <w:trHeight w:val="260"/>
        </w:trPr>
        <w:tc>
          <w:tcPr>
            <w:tcW w:w="400" w:type="dxa"/>
            <w:vAlign w:val="bottom"/>
            <w:tcBorders>
              <w:left w:val="single" w:sz="8" w:color="auto"/>
              <w:bottom w:val="single" w:sz="8" w:color="auto"/>
            </w:tcBorders>
          </w:tcPr>
          <w:p>
            <w:pPr>
              <w:spacing w:after="0"/>
              <w:rPr>
                <w:sz w:val="22"/>
                <w:szCs w:val="22"/>
                <w:color w:val="auto"/>
              </w:rPr>
            </w:pPr>
          </w:p>
        </w:tc>
        <w:tc>
          <w:tcPr>
            <w:tcW w:w="1940" w:type="dxa"/>
            <w:vAlign w:val="bottom"/>
            <w:tcBorders>
              <w:top w:val="single" w:sz="8" w:color="auto"/>
              <w:bottom w:val="single" w:sz="8" w:color="auto"/>
            </w:tcBorders>
          </w:tcPr>
          <w:p>
            <w:pPr>
              <w:spacing w:after="0"/>
              <w:rPr>
                <w:sz w:val="22"/>
                <w:szCs w:val="22"/>
                <w:color w:val="auto"/>
              </w:rPr>
            </w:pPr>
          </w:p>
        </w:tc>
        <w:tc>
          <w:tcPr>
            <w:tcW w:w="38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r>
      <w:tr>
        <w:trPr>
          <w:trHeight w:val="242"/>
        </w:trPr>
        <w:tc>
          <w:tcPr>
            <w:tcW w:w="400" w:type="dxa"/>
            <w:vAlign w:val="bottom"/>
            <w:tcBorders>
              <w:left w:val="single" w:sz="8" w:color="auto"/>
            </w:tcBorders>
          </w:tcPr>
          <w:p>
            <w:pPr>
              <w:spacing w:after="0"/>
              <w:rPr>
                <w:sz w:val="21"/>
                <w:szCs w:val="21"/>
                <w:color w:val="auto"/>
              </w:rPr>
            </w:pPr>
          </w:p>
        </w:tc>
        <w:tc>
          <w:tcPr>
            <w:tcW w:w="2320" w:type="dxa"/>
            <w:vAlign w:val="bottom"/>
            <w:tcBorders>
              <w:right w:val="single" w:sz="8" w:color="auto"/>
            </w:tcBorders>
            <w:gridSpan w:val="2"/>
          </w:tcPr>
          <w:p>
            <w:pPr>
              <w:jc w:val="center"/>
              <w:ind w:right="380"/>
              <w:spacing w:after="0" w:line="243" w:lineRule="exact"/>
              <w:rPr>
                <w:sz w:val="20"/>
                <w:szCs w:val="20"/>
                <w:color w:val="auto"/>
              </w:rPr>
            </w:pPr>
            <w:r>
              <w:rPr>
                <w:rFonts w:ascii="Times New Roman" w:cs="Times New Roman" w:eastAsia="Times New Roman" w:hAnsi="Times New Roman"/>
                <w:sz w:val="22"/>
                <w:szCs w:val="22"/>
                <w:color w:val="auto"/>
                <w:w w:val="98"/>
              </w:rPr>
              <w:t>December 31, 2026</w:t>
            </w:r>
          </w:p>
        </w:tc>
        <w:tc>
          <w:tcPr>
            <w:tcW w:w="1880" w:type="dxa"/>
            <w:vAlign w:val="bottom"/>
            <w:gridSpan w:val="2"/>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1360" w:type="dxa"/>
            <w:vAlign w:val="bottom"/>
            <w:tcBorders>
              <w:right w:val="single" w:sz="8" w:color="auto"/>
            </w:tcBorders>
          </w:tcPr>
          <w:p>
            <w:pPr>
              <w:spacing w:after="0"/>
              <w:rPr>
                <w:sz w:val="21"/>
                <w:szCs w:val="21"/>
                <w:color w:val="auto"/>
              </w:rPr>
            </w:pPr>
          </w:p>
        </w:tc>
      </w:tr>
      <w:tr>
        <w:trPr>
          <w:trHeight w:val="173"/>
        </w:trPr>
        <w:tc>
          <w:tcPr>
            <w:tcW w:w="400" w:type="dxa"/>
            <w:vAlign w:val="bottom"/>
            <w:tcBorders>
              <w:left w:val="single" w:sz="8" w:color="auto"/>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140"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the United States of America that are applicable to the Borrower or any of its Subsidiaries from time to time concerning or relating to bribery or corruption.</w:t>
      </w:r>
    </w:p>
    <w:p>
      <w:pPr>
        <w:spacing w:after="0" w:line="1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7.23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40"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means, for any day, with respect to any ABR Loan or SOFR Loan, or with respect to the Commitment Fee Rate, as the case may be, the applicable rate per annum set forth in the grid below based upon the Consolidated Net Leverage Ratio then in effect determined as provided below in this definition:</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327"/>
        </w:trPr>
        <w:tc>
          <w:tcPr>
            <w:tcW w:w="24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28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w w:val="99"/>
              </w:rPr>
              <w:t>Consolidated Net Leverage Ratio</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SOFR Loans</w:t>
            </w:r>
          </w:p>
        </w:tc>
        <w:tc>
          <w:tcPr>
            <w:tcW w:w="12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ABR</w:t>
            </w:r>
          </w:p>
        </w:tc>
        <w:tc>
          <w:tcPr>
            <w:tcW w:w="1460" w:type="dxa"/>
            <w:vAlign w:val="bottom"/>
            <w:tcBorders>
              <w:top w:val="single" w:sz="8" w:color="auto"/>
              <w:right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w w:val="97"/>
              </w:rPr>
              <w:t>Commitment</w:t>
            </w:r>
          </w:p>
        </w:tc>
        <w:tc>
          <w:tcPr>
            <w:tcW w:w="0" w:type="dxa"/>
            <w:vAlign w:val="bottom"/>
          </w:tcPr>
          <w:p>
            <w:pPr>
              <w:spacing w:after="0"/>
              <w:rPr>
                <w:sz w:val="1"/>
                <w:szCs w:val="1"/>
                <w:color w:val="auto"/>
              </w:rPr>
            </w:pPr>
          </w:p>
        </w:tc>
      </w:tr>
      <w:tr>
        <w:trPr>
          <w:trHeight w:val="154"/>
        </w:trPr>
        <w:tc>
          <w:tcPr>
            <w:tcW w:w="2460" w:type="dxa"/>
            <w:vAlign w:val="bottom"/>
            <w:tcBorders>
              <w:left w:val="single" w:sz="8" w:color="auto"/>
              <w:right w:val="single" w:sz="8" w:color="auto"/>
            </w:tcBorders>
            <w:vMerge w:val="continue"/>
          </w:tcPr>
          <w:p>
            <w:pPr>
              <w:spacing w:after="0"/>
              <w:rPr>
                <w:sz w:val="13"/>
                <w:szCs w:val="13"/>
                <w:color w:val="auto"/>
              </w:rPr>
            </w:pPr>
          </w:p>
        </w:tc>
        <w:tc>
          <w:tcPr>
            <w:tcW w:w="288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vMerge w:val="continue"/>
          </w:tcPr>
          <w:p>
            <w:pPr>
              <w:spacing w:after="0"/>
              <w:rPr>
                <w:sz w:val="13"/>
                <w:szCs w:val="13"/>
                <w:color w:val="auto"/>
              </w:rPr>
            </w:pPr>
          </w:p>
        </w:tc>
        <w:tc>
          <w:tcPr>
            <w:tcW w:w="12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Loans</w:t>
            </w:r>
          </w:p>
        </w:tc>
        <w:tc>
          <w:tcPr>
            <w:tcW w:w="1460" w:type="dxa"/>
            <w:vAlign w:val="bottom"/>
            <w:tcBorders>
              <w:right w:val="single" w:sz="8" w:color="auto"/>
            </w:tcBorders>
            <w:vMerge w:val="restart"/>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Fee Rate</w:t>
            </w:r>
          </w:p>
        </w:tc>
        <w:tc>
          <w:tcPr>
            <w:tcW w:w="0" w:type="dxa"/>
            <w:vAlign w:val="bottom"/>
          </w:tcPr>
          <w:p>
            <w:pPr>
              <w:spacing w:after="0"/>
              <w:rPr>
                <w:sz w:val="1"/>
                <w:szCs w:val="1"/>
                <w:color w:val="auto"/>
              </w:rPr>
            </w:pPr>
          </w:p>
        </w:tc>
      </w:tr>
      <w:tr>
        <w:trPr>
          <w:trHeight w:val="108"/>
        </w:trPr>
        <w:tc>
          <w:tcPr>
            <w:tcW w:w="2460" w:type="dxa"/>
            <w:vAlign w:val="bottom"/>
            <w:tcBorders>
              <w:left w:val="single" w:sz="8" w:color="auto"/>
              <w:right w:val="single" w:sz="8" w:color="auto"/>
            </w:tcBorders>
          </w:tcPr>
          <w:p>
            <w:pPr>
              <w:spacing w:after="0"/>
              <w:rPr>
                <w:sz w:val="9"/>
                <w:szCs w:val="9"/>
                <w:color w:val="auto"/>
              </w:rPr>
            </w:pPr>
          </w:p>
        </w:tc>
        <w:tc>
          <w:tcPr>
            <w:tcW w:w="288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460" w:type="dxa"/>
            <w:vAlign w:val="bottom"/>
            <w:tcBorders>
              <w:left w:val="single" w:sz="8" w:color="auto"/>
              <w:bottom w:val="single" w:sz="8" w:color="auto"/>
              <w:right w:val="single" w:sz="8" w:color="auto"/>
            </w:tcBorders>
          </w:tcPr>
          <w:p>
            <w:pPr>
              <w:spacing w:after="0"/>
              <w:rPr>
                <w:sz w:val="9"/>
                <w:szCs w:val="9"/>
                <w:color w:val="auto"/>
              </w:rPr>
            </w:pPr>
          </w:p>
        </w:tc>
        <w:tc>
          <w:tcPr>
            <w:tcW w:w="288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4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89"/>
              </w:rPr>
              <w:t>I</w:t>
            </w:r>
          </w:p>
        </w:tc>
        <w:tc>
          <w:tcPr>
            <w:tcW w:w="2880" w:type="dxa"/>
            <w:vAlign w:val="bottom"/>
            <w:tcBorders>
              <w:right w:val="single" w:sz="8" w:color="auto"/>
            </w:tcBorders>
          </w:tcPr>
          <w:p>
            <w:pPr>
              <w:spacing w:after="0" w:line="164" w:lineRule="exact"/>
              <w:rPr>
                <w:sz w:val="20"/>
                <w:szCs w:val="20"/>
                <w:color w:val="auto"/>
              </w:rPr>
            </w:pPr>
            <w:r>
              <w:rPr>
                <w:rFonts w:ascii="Times New Roman" w:cs="Times New Roman" w:eastAsia="Times New Roman" w:hAnsi="Times New Roman"/>
                <w:sz w:val="18"/>
                <w:szCs w:val="18"/>
                <w:color w:val="auto"/>
              </w:rPr>
              <w:t>Greater than or equal to 3.50 to</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3.500%</w:t>
            </w:r>
          </w:p>
        </w:tc>
        <w:tc>
          <w:tcPr>
            <w:tcW w:w="1260" w:type="dxa"/>
            <w:vAlign w:val="bottom"/>
            <w:tcBorders>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2.500%</w:t>
            </w:r>
          </w:p>
        </w:tc>
        <w:tc>
          <w:tcPr>
            <w:tcW w:w="1460" w:type="dxa"/>
            <w:vAlign w:val="bottom"/>
            <w:tcBorders>
              <w:right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20"/>
                <w:szCs w:val="20"/>
                <w:color w:val="auto"/>
              </w:rPr>
              <w:t>0.500%</w:t>
            </w:r>
          </w:p>
        </w:tc>
        <w:tc>
          <w:tcPr>
            <w:tcW w:w="0" w:type="dxa"/>
            <w:vAlign w:val="bottom"/>
          </w:tcPr>
          <w:p>
            <w:pPr>
              <w:spacing w:after="0"/>
              <w:rPr>
                <w:sz w:val="1"/>
                <w:szCs w:val="1"/>
                <w:color w:val="auto"/>
              </w:rPr>
            </w:pPr>
          </w:p>
        </w:tc>
      </w:tr>
      <w:tr>
        <w:trPr>
          <w:trHeight w:val="137"/>
        </w:trPr>
        <w:tc>
          <w:tcPr>
            <w:tcW w:w="2460" w:type="dxa"/>
            <w:vAlign w:val="bottom"/>
            <w:tcBorders>
              <w:left w:val="single" w:sz="8" w:color="auto"/>
              <w:right w:val="single" w:sz="8" w:color="auto"/>
            </w:tcBorders>
            <w:vMerge w:val="continue"/>
          </w:tcPr>
          <w:p>
            <w:pPr>
              <w:spacing w:after="0"/>
              <w:rPr>
                <w:sz w:val="11"/>
                <w:szCs w:val="11"/>
                <w:color w:val="auto"/>
              </w:rPr>
            </w:pPr>
          </w:p>
        </w:tc>
        <w:tc>
          <w:tcPr>
            <w:tcW w:w="28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1.00</w:t>
            </w:r>
          </w:p>
        </w:tc>
        <w:tc>
          <w:tcPr>
            <w:tcW w:w="16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460" w:type="dxa"/>
            <w:vAlign w:val="bottom"/>
            <w:tcBorders>
              <w:left w:val="single" w:sz="8" w:color="auto"/>
              <w:bottom w:val="single" w:sz="8" w:color="auto"/>
              <w:right w:val="single" w:sz="8" w:color="auto"/>
            </w:tcBorders>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460" w:type="dxa"/>
            <w:vAlign w:val="bottom"/>
            <w:tcBorders>
              <w:left w:val="single" w:sz="8" w:color="auto"/>
              <w:right w:val="single" w:sz="8" w:color="auto"/>
            </w:tcBorders>
          </w:tcPr>
          <w:p>
            <w:pPr>
              <w:spacing w:after="0"/>
              <w:rPr>
                <w:sz w:val="17"/>
                <w:szCs w:val="17"/>
                <w:color w:val="auto"/>
              </w:rPr>
            </w:pPr>
          </w:p>
        </w:tc>
        <w:tc>
          <w:tcPr>
            <w:tcW w:w="288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Greater than or equal to 3.00 to</w:t>
            </w:r>
          </w:p>
        </w:tc>
        <w:tc>
          <w:tcPr>
            <w:tcW w:w="16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II</w:t>
            </w:r>
          </w:p>
        </w:tc>
        <w:tc>
          <w:tcPr>
            <w:tcW w:w="2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1.00 but less than 3.50 to 1.00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3.250%</w:t>
            </w:r>
          </w:p>
        </w:tc>
        <w:tc>
          <w:tcPr>
            <w:tcW w:w="1260" w:type="dxa"/>
            <w:vAlign w:val="bottom"/>
            <w:tcBorders>
              <w:right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2.250%</w:t>
            </w:r>
          </w:p>
        </w:tc>
        <w:tc>
          <w:tcPr>
            <w:tcW w:w="1460" w:type="dxa"/>
            <w:vAlign w:val="bottom"/>
            <w:tcBorders>
              <w:right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0.500%</w:t>
            </w:r>
          </w:p>
        </w:tc>
        <w:tc>
          <w:tcPr>
            <w:tcW w:w="0" w:type="dxa"/>
            <w:vAlign w:val="bottom"/>
          </w:tcPr>
          <w:p>
            <w:pPr>
              <w:spacing w:after="0"/>
              <w:rPr>
                <w:sz w:val="1"/>
                <w:szCs w:val="1"/>
                <w:color w:val="auto"/>
              </w:rPr>
            </w:pPr>
          </w:p>
        </w:tc>
      </w:tr>
      <w:tr>
        <w:trPr>
          <w:trHeight w:val="210"/>
        </w:trPr>
        <w:tc>
          <w:tcPr>
            <w:tcW w:w="24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460" w:type="dxa"/>
            <w:vAlign w:val="bottom"/>
            <w:tcBorders>
              <w:left w:val="single" w:sz="8" w:color="auto"/>
              <w:right w:val="single" w:sz="8" w:color="auto"/>
            </w:tcBorders>
          </w:tcPr>
          <w:p>
            <w:pPr>
              <w:spacing w:after="0"/>
              <w:rPr>
                <w:sz w:val="17"/>
                <w:szCs w:val="17"/>
                <w:color w:val="auto"/>
              </w:rPr>
            </w:pPr>
          </w:p>
        </w:tc>
        <w:tc>
          <w:tcPr>
            <w:tcW w:w="288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Greater than or equal to 2.50 to</w:t>
            </w:r>
          </w:p>
        </w:tc>
        <w:tc>
          <w:tcPr>
            <w:tcW w:w="16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III</w:t>
            </w:r>
          </w:p>
        </w:tc>
        <w:tc>
          <w:tcPr>
            <w:tcW w:w="2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1.00 but less than 3.00 to</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3.000%</w:t>
            </w:r>
          </w:p>
        </w:tc>
        <w:tc>
          <w:tcPr>
            <w:tcW w:w="1260" w:type="dxa"/>
            <w:vAlign w:val="bottom"/>
            <w:tcBorders>
              <w:right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2.000%</w:t>
            </w:r>
          </w:p>
        </w:tc>
        <w:tc>
          <w:tcPr>
            <w:tcW w:w="1460" w:type="dxa"/>
            <w:vAlign w:val="bottom"/>
            <w:tcBorders>
              <w:right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0.375%</w:t>
            </w:r>
          </w:p>
        </w:tc>
        <w:tc>
          <w:tcPr>
            <w:tcW w:w="0" w:type="dxa"/>
            <w:vAlign w:val="bottom"/>
          </w:tcPr>
          <w:p>
            <w:pPr>
              <w:spacing w:after="0"/>
              <w:rPr>
                <w:sz w:val="1"/>
                <w:szCs w:val="1"/>
                <w:color w:val="auto"/>
              </w:rPr>
            </w:pPr>
          </w:p>
        </w:tc>
      </w:tr>
      <w:tr>
        <w:trPr>
          <w:trHeight w:val="252"/>
        </w:trPr>
        <w:tc>
          <w:tcPr>
            <w:tcW w:w="2460" w:type="dxa"/>
            <w:vAlign w:val="bottom"/>
            <w:tcBorders>
              <w:left w:val="single" w:sz="8" w:color="auto"/>
              <w:bottom w:val="single" w:sz="8" w:color="auto"/>
              <w:right w:val="single" w:sz="8" w:color="auto"/>
            </w:tcBorders>
          </w:tcPr>
          <w:p>
            <w:pPr>
              <w:spacing w:after="0"/>
              <w:rPr>
                <w:sz w:val="21"/>
                <w:szCs w:val="21"/>
                <w:color w:val="auto"/>
              </w:rPr>
            </w:pPr>
          </w:p>
        </w:tc>
        <w:tc>
          <w:tcPr>
            <w:tcW w:w="2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1.00</w:t>
            </w:r>
          </w:p>
        </w:tc>
        <w:tc>
          <w:tcPr>
            <w:tcW w:w="160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460" w:type="dxa"/>
            <w:vAlign w:val="bottom"/>
            <w:tcBorders>
              <w:left w:val="single" w:sz="8" w:color="auto"/>
              <w:right w:val="single" w:sz="8" w:color="auto"/>
            </w:tcBorders>
          </w:tcPr>
          <w:p>
            <w:pPr>
              <w:spacing w:after="0"/>
              <w:rPr>
                <w:sz w:val="17"/>
                <w:szCs w:val="17"/>
                <w:color w:val="auto"/>
              </w:rPr>
            </w:pPr>
          </w:p>
        </w:tc>
        <w:tc>
          <w:tcPr>
            <w:tcW w:w="288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Greater than or equal to 2.00</w:t>
            </w:r>
          </w:p>
        </w:tc>
        <w:tc>
          <w:tcPr>
            <w:tcW w:w="16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IV</w:t>
            </w:r>
          </w:p>
        </w:tc>
        <w:tc>
          <w:tcPr>
            <w:tcW w:w="2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to 1.00 but less than 2.50 to 1.00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2.750%</w:t>
            </w:r>
          </w:p>
        </w:tc>
        <w:tc>
          <w:tcPr>
            <w:tcW w:w="1260" w:type="dxa"/>
            <w:vAlign w:val="bottom"/>
            <w:tcBorders>
              <w:right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1.750%</w:t>
            </w:r>
          </w:p>
        </w:tc>
        <w:tc>
          <w:tcPr>
            <w:tcW w:w="1460" w:type="dxa"/>
            <w:vAlign w:val="bottom"/>
            <w:tcBorders>
              <w:right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0.375%</w:t>
            </w:r>
          </w:p>
        </w:tc>
        <w:tc>
          <w:tcPr>
            <w:tcW w:w="0" w:type="dxa"/>
            <w:vAlign w:val="bottom"/>
          </w:tcPr>
          <w:p>
            <w:pPr>
              <w:spacing w:after="0"/>
              <w:rPr>
                <w:sz w:val="1"/>
                <w:szCs w:val="1"/>
                <w:color w:val="auto"/>
              </w:rPr>
            </w:pPr>
          </w:p>
        </w:tc>
      </w:tr>
      <w:tr>
        <w:trPr>
          <w:trHeight w:val="210"/>
        </w:trPr>
        <w:tc>
          <w:tcPr>
            <w:tcW w:w="246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2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V</w:t>
            </w:r>
          </w:p>
        </w:tc>
        <w:tc>
          <w:tcPr>
            <w:tcW w:w="2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Less than 2.00 to 1.00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2.500%</w:t>
            </w:r>
          </w:p>
        </w:tc>
        <w:tc>
          <w:tcPr>
            <w:tcW w:w="1260" w:type="dxa"/>
            <w:vAlign w:val="bottom"/>
            <w:tcBorders>
              <w:right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1.500%</w:t>
            </w:r>
          </w:p>
        </w:tc>
        <w:tc>
          <w:tcPr>
            <w:tcW w:w="1460" w:type="dxa"/>
            <w:vAlign w:val="bottom"/>
            <w:tcBorders>
              <w:right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0.375%</w:t>
            </w:r>
          </w:p>
        </w:tc>
        <w:tc>
          <w:tcPr>
            <w:tcW w:w="0" w:type="dxa"/>
            <w:vAlign w:val="bottom"/>
          </w:tcPr>
          <w:p>
            <w:pPr>
              <w:spacing w:after="0"/>
              <w:rPr>
                <w:sz w:val="1"/>
                <w:szCs w:val="1"/>
                <w:color w:val="auto"/>
              </w:rPr>
            </w:pPr>
          </w:p>
        </w:tc>
      </w:tr>
      <w:tr>
        <w:trPr>
          <w:trHeight w:val="88"/>
        </w:trPr>
        <w:tc>
          <w:tcPr>
            <w:tcW w:w="2460" w:type="dxa"/>
            <w:vAlign w:val="bottom"/>
            <w:tcBorders>
              <w:left w:val="single" w:sz="8" w:color="auto"/>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140" w:right="399" w:firstLine="747"/>
        <w:spacing w:after="0" w:line="243" w:lineRule="auto"/>
        <w:rPr>
          <w:sz w:val="20"/>
          <w:szCs w:val="20"/>
          <w:color w:val="auto"/>
        </w:rPr>
      </w:pPr>
      <w:r>
        <w:rPr>
          <w:rFonts w:ascii="Times New Roman" w:cs="Times New Roman" w:eastAsia="Times New Roman" w:hAnsi="Times New Roman"/>
          <w:sz w:val="21"/>
          <w:szCs w:val="21"/>
          <w:color w:val="auto"/>
        </w:rPr>
        <w:t xml:space="preserve">For purposes of this definition, the Consolidated Net Leverage Ratio shall be calculated quarterly, as of the last day of each fiscal quarter of the Borrower. Each change in the Applicable Margin resulting from a change in the Consolidated Net Leverage Ratio shall become effective on and after the date on which financial statements and a compliance certificate are delivered to the Lenders pursuant to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as applicable, and shall remain in effect until the next change to be effected pursuant to this paragraph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if at any time the Borrower fails to deliver any such financial statements and a compliance certificate required by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or the Pinnacle Redemption Compliance Certificate, as applicable, then, for the period commencing on the date of such Default and ending on the date on which such Default is cured, the “Applicable Margin” means the rate per annum set forth on the grid when the Consolidated Net Leverage Ratio is at level “I” in the grid set forth above;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for the period commencing on the Effective Date and continuing until, but excluding,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date on which financial statements and a compliance certificate are delivered pursuant to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in respect of the fiscal quarter of the Borrower ending June 30, 2026 (such period, the</w:t>
      </w:r>
    </w:p>
    <w:p>
      <w:pPr>
        <w:spacing w:after="0" w:line="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655955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99"/>
          </w:cols>
          <w:pgMar w:left="560" w:top="1088" w:right="1440" w:bottom="1440" w:gutter="0" w:footer="0" w:header="0"/>
        </w:sectPr>
      </w:pPr>
    </w:p>
    <w:bookmarkStart w:id="35" w:name="page36"/>
    <w:bookmarkEnd w:id="35"/>
    <w:p>
      <w:pPr>
        <w:jc w:val="both"/>
        <w:ind w:right="39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Period</w:t>
      </w:r>
      <w:r>
        <w:rPr>
          <w:rFonts w:ascii="Times New Roman" w:cs="Times New Roman" w:eastAsia="Times New Roman" w:hAnsi="Times New Roman"/>
          <w:sz w:val="22"/>
          <w:szCs w:val="22"/>
          <w:color w:val="auto"/>
        </w:rPr>
        <w:t xml:space="preserve">”), the “Applicable Margin” means the rate per annum set forth on the grid when the Consolidated Net Leverage Ratio is at level “V” in the grid set forth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Pinnacle Redemption Effective Date occurs during the Initial Period, the Applicable Margin shall be determined based upon the Initial Period Consolidated Net Leverage Ratio as set forth in the Pinnacle Redemption Compliance Certificate with any resulting change in the Applicable Margin based on such Initial Period Consolidated Net Leverage Ratio to become effective on the first Business Day following the Pinnacle Redemption Effective Date. In the event that any such financial statement or compliance certificate delivered pursuant to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or the Pinnacle Redemption Compliance Certificate, as applicable, is shown to be inaccurate (regardless of whether this Agreement or the Commitments are in effect when such inaccuracy is discovered), and such inaccuracy, if corrected, would have led to the application of a higher Applicable Margin for any period (an “</w:t>
      </w:r>
      <w:r>
        <w:rPr>
          <w:rFonts w:ascii="Times New Roman" w:cs="Times New Roman" w:eastAsia="Times New Roman" w:hAnsi="Times New Roman"/>
          <w:sz w:val="22"/>
          <w:szCs w:val="22"/>
          <w:u w:val="single" w:color="auto"/>
          <w:color w:val="auto"/>
        </w:rPr>
        <w:t>Applicable Period</w:t>
      </w:r>
      <w:r>
        <w:rPr>
          <w:rFonts w:ascii="Times New Roman" w:cs="Times New Roman" w:eastAsia="Times New Roman" w:hAnsi="Times New Roman"/>
          <w:sz w:val="22"/>
          <w:szCs w:val="22"/>
          <w:color w:val="auto"/>
        </w:rPr>
        <w:t xml:space="preserve">”) than the Applicable Margin applied for such Applicable Period, and only in such case, then the Borrower shall immediately (a) deliver to the Administrative Agent a corrected compliance certificate or Pinnacle Redemption Compliance Certificate, as applicable, for such Applicable Period, (b) determine the Applicable Margin for such Applicable Period based upon the corrected compliance certificate or Pinnacle Redemption Compliance Certificate, as applicable, and (c) immediately pay to the Administrative Agent the accrued additional interest owing as a result of such increased Applicable Margin for such Applicable Period, which payment shall be promptly applied by the Administrative Agent in accordance with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The preceding sentence is in addition to rights of the Administrative Agent and Lenders with respect to </w:t>
      </w:r>
      <w:r>
        <w:rPr>
          <w:rFonts w:ascii="Times New Roman" w:cs="Times New Roman" w:eastAsia="Times New Roman" w:hAnsi="Times New Roman"/>
          <w:sz w:val="22"/>
          <w:szCs w:val="22"/>
          <w:u w:val="single" w:color="auto"/>
          <w:color w:val="auto"/>
        </w:rPr>
        <w:t>Sections 3.02(c)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10.02</w:t>
      </w:r>
      <w:r>
        <w:rPr>
          <w:rFonts w:ascii="Times New Roman" w:cs="Times New Roman" w:eastAsia="Times New Roman" w:hAnsi="Times New Roman"/>
          <w:sz w:val="22"/>
          <w:szCs w:val="22"/>
          <w:color w:val="auto"/>
        </w:rPr>
        <w:t xml:space="preserve"> and other of their respective rights under this Agreement.</w:t>
      </w:r>
    </w:p>
    <w:p>
      <w:pPr>
        <w:spacing w:after="0" w:line="185"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with respect to any Lender, the percentage of the aggregate Commitments represented by such Lender’s Commitment;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when a Defaulting Lender shall exist, the “Applicable Percentage” of any Lender other than a Defaulting Lender means the percentage of the aggregate Commitments (disregarding any Defaulting Lender’s Commitments) represented by such Lender’s Commitment. If the Commitments have terminated or expired, the “Applicable Percentage” shall be determined based upon the Commitments most recently in effect, giving effect to any assignments.</w:t>
      </w:r>
    </w:p>
    <w:p>
      <w:pPr>
        <w:spacing w:after="0" w:line="183"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Counterparty</w:t>
      </w:r>
      <w:r>
        <w:rPr>
          <w:rFonts w:ascii="Times New Roman" w:cs="Times New Roman" w:eastAsia="Times New Roman" w:hAnsi="Times New Roman"/>
          <w:sz w:val="22"/>
          <w:szCs w:val="22"/>
          <w:color w:val="auto"/>
        </w:rPr>
        <w:t>” means (a) any Lender or any Affiliate of a Lender and (b) any other Person, if such Person or its credit support provider with respect to its Hedging Agreements has a long term senior unsecured debt rating of A-/A3 by S&amp;P or Moody’s (or their equivalent) or higher.</w:t>
      </w:r>
    </w:p>
    <w:p>
      <w:pPr>
        <w:spacing w:after="0" w:line="173"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Fund that is administered or managed by (a) a Lender, (b) an Affiliate of a Lender or (c) an entity or an Affiliate of an entity that administers or manages a Lender.</w:t>
      </w:r>
    </w:p>
    <w:p>
      <w:pPr>
        <w:spacing w:after="0" w:line="158"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Arranger</w:t>
      </w:r>
      <w:r>
        <w:rPr>
          <w:rFonts w:ascii="Times New Roman" w:cs="Times New Roman" w:eastAsia="Times New Roman" w:hAnsi="Times New Roman"/>
          <w:sz w:val="22"/>
          <w:szCs w:val="22"/>
          <w:color w:val="auto"/>
        </w:rPr>
        <w:t>” means Wells Fargo Securities, LLC, in its capacity as sole lead arranger and sole bookrunner hereunder.</w:t>
      </w:r>
    </w:p>
    <w:p>
      <w:pPr>
        <w:spacing w:after="0" w:line="158"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2"/>
          <w:szCs w:val="22"/>
          <w:u w:val="single" w:color="auto"/>
          <w:color w:val="auto"/>
        </w:rPr>
        <w:t>Section 12.04(a)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accepted by the Administrative Agent, in substantially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or any other form approved by the Administrative Agent.</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36" w:name="page37"/>
    <w:bookmarkEnd w:id="36"/>
    <w:p>
      <w:pPr>
        <w:ind w:right="175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means the period from and including the Effective Date to but excluding the Termination Date.</w:t>
      </w:r>
    </w:p>
    <w:p>
      <w:pPr>
        <w:spacing w:after="0" w:line="158"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Cash</w:t>
      </w:r>
      <w:r>
        <w:rPr>
          <w:rFonts w:ascii="Times New Roman" w:cs="Times New Roman" w:eastAsia="Times New Roman" w:hAnsi="Times New Roman"/>
          <w:sz w:val="21"/>
          <w:szCs w:val="21"/>
          <w:color w:val="auto"/>
        </w:rPr>
        <w:t xml:space="preserve">” means, as of any date of determination, (a) an amount equal to Unadjusted Consolidated EBITDA for the most recently completed Rolling Period for which financial statements have been delivered by the Borrower pursuant to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8.01(b)</w:t>
      </w:r>
      <w:r>
        <w:rPr>
          <w:rFonts w:ascii="Times New Roman" w:cs="Times New Roman" w:eastAsia="Times New Roman" w:hAnsi="Times New Roman"/>
          <w:sz w:val="21"/>
          <w:szCs w:val="21"/>
          <w:color w:val="auto"/>
        </w:rPr>
        <w:t xml:space="preserve">, as applicable, beginning with the Rolling Period ending June 30, 2026,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the sum, without duplication, of the following amounts actually paid in cash by the Borrower or its Consolidated Subsidiaries during such Rolling Period: (i) interest expense, (ii) Taxes (including Permitted Tax Distributions), (iii) Capital Expenditures for maintenance and operations,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(b) the aggregate amount of (i) Restricted Payments (including distributions paid in respect of the Pinnacle Preferred Equity Interests) made during such Rolling Period (other than Restricted Payments permitted under </w:t>
      </w:r>
      <w:r>
        <w:rPr>
          <w:rFonts w:ascii="Times New Roman" w:cs="Times New Roman" w:eastAsia="Times New Roman" w:hAnsi="Times New Roman"/>
          <w:sz w:val="21"/>
          <w:szCs w:val="21"/>
          <w:u w:val="single" w:color="auto"/>
          <w:color w:val="auto"/>
        </w:rPr>
        <w:t>Section 9.04(a)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9.04(b)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9.04(c)</w:t>
      </w:r>
      <w:r>
        <w:rPr>
          <w:rFonts w:ascii="Times New Roman" w:cs="Times New Roman" w:eastAsia="Times New Roman" w:hAnsi="Times New Roman"/>
          <w:sz w:val="21"/>
          <w:szCs w:val="21"/>
          <w:color w:val="auto"/>
        </w:rPr>
        <w:t>) and</w:t>
      </w:r>
    </w:p>
    <w:p>
      <w:pPr>
        <w:spacing w:after="0" w:line="1" w:lineRule="exact"/>
        <w:rPr>
          <w:sz w:val="20"/>
          <w:szCs w:val="20"/>
          <w:color w:val="auto"/>
        </w:rPr>
      </w:pPr>
    </w:p>
    <w:p>
      <w:pPr>
        <w:jc w:val="both"/>
        <w:ind w:right="399" w:firstLine="2"/>
        <w:spacing w:after="0" w:line="233" w:lineRule="auto"/>
        <w:tabs>
          <w:tab w:leader="none" w:pos="3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made in reliance on </w:t>
      </w:r>
      <w:r>
        <w:rPr>
          <w:rFonts w:ascii="Times New Roman" w:cs="Times New Roman" w:eastAsia="Times New Roman" w:hAnsi="Times New Roman"/>
          <w:sz w:val="22"/>
          <w:szCs w:val="22"/>
          <w:u w:val="single" w:color="auto"/>
          <w:color w:val="auto"/>
        </w:rPr>
        <w:t>Section 9.05(m)</w:t>
      </w:r>
      <w:r>
        <w:rPr>
          <w:rFonts w:ascii="Times New Roman" w:cs="Times New Roman" w:eastAsia="Times New Roman" w:hAnsi="Times New Roman"/>
          <w:sz w:val="22"/>
          <w:szCs w:val="22"/>
          <w:color w:val="auto"/>
        </w:rPr>
        <w:t>, in each case of clauses (b)(i) and (b)(ii) during the three most recently completed Available Cash Usage Periods (or, in the case of any date of determination before November 29, 2026, during the number of then-completed Available Cash Usage Periods) and the then current Available Cash Usage Period. For the avoidance of doubt, Unadjusted Consolidated EBITDA shall not be annualized for purposes of determining Available Cash.</w:t>
      </w:r>
    </w:p>
    <w:p>
      <w:pPr>
        <w:spacing w:after="0" w:line="179"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Cash Usage Period</w:t>
      </w:r>
      <w:r>
        <w:rPr>
          <w:rFonts w:ascii="Times New Roman" w:cs="Times New Roman" w:eastAsia="Times New Roman" w:hAnsi="Times New Roman"/>
          <w:sz w:val="22"/>
          <w:szCs w:val="22"/>
          <w:color w:val="auto"/>
        </w:rPr>
        <w:t>” means, as of any date of determination, the period commencing on the most recent date that is exactly sixty (60) days after the end of a fiscal quarter and ending on (but not including) the next date that is exactly sixty (60) days after the end of a fiscal quarter. The first Available Cash Usage Period hereunder commences August 30, 2026.</w:t>
      </w:r>
    </w:p>
    <w:p>
      <w:pPr>
        <w:spacing w:after="0" w:line="180"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2"/>
          <w:szCs w:val="22"/>
          <w:u w:val="single" w:color="auto"/>
          <w:color w:val="auto"/>
        </w:rPr>
        <w:t>Section 3.03(c)(iv)</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Daily Volumes</w:t>
      </w:r>
      <w:r>
        <w:rPr>
          <w:rFonts w:ascii="Times New Roman" w:cs="Times New Roman" w:eastAsia="Times New Roman" w:hAnsi="Times New Roman"/>
          <w:sz w:val="22"/>
          <w:szCs w:val="22"/>
          <w:color w:val="auto"/>
        </w:rPr>
        <w:t>” means, with respect to any period of determination, the rolling average of the total daily volumes (measured by Mcf) of natural gas that are serviced by the Pinnacle System pursuant to enforceable contracts.</w:t>
      </w:r>
    </w:p>
    <w:p>
      <w:pPr>
        <w:spacing w:after="0" w:line="173"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EEA Resolution Authority in respect of any liability of an EEA Financial Institution.</w:t>
      </w:r>
    </w:p>
    <w:p>
      <w:pPr>
        <w:spacing w:after="0" w:line="158"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37" w:name="page38"/>
    <w:bookmarkEnd w:id="37"/>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xml:space="preserve">” means 11 U.S.C. §§ 101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Term SOFR Determination Day</w:t>
      </w:r>
      <w:r>
        <w:rPr>
          <w:rFonts w:ascii="Times New Roman" w:cs="Times New Roman" w:eastAsia="Times New Roman" w:hAnsi="Times New Roman"/>
          <w:sz w:val="22"/>
          <w:szCs w:val="22"/>
          <w:color w:val="auto"/>
        </w:rPr>
        <w:t>” has the meaning assigned thereto in the definition of “Term SOFR”.</w:t>
      </w:r>
    </w:p>
    <w:p>
      <w:pPr>
        <w:spacing w:after="0" w:line="158"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Section 3.03(c)(i)</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with respect to any Benchmark Transition Event, the sum of:</w:t>
      </w:r>
    </w:p>
    <w:p>
      <w:pPr>
        <w:spacing w:after="0" w:line="14" w:lineRule="exact"/>
        <w:rPr>
          <w:sz w:val="20"/>
          <w:szCs w:val="20"/>
          <w:color w:val="auto"/>
        </w:rPr>
      </w:pPr>
    </w:p>
    <w:p>
      <w:pPr>
        <w:jc w:val="both"/>
        <w:ind w:right="399" w:firstLine="2"/>
        <w:spacing w:after="0" w:line="230" w:lineRule="auto"/>
        <w:tabs>
          <w:tab w:leader="none" w:pos="33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w:t>
      </w:r>
    </w:p>
    <w:p>
      <w:pPr>
        <w:spacing w:after="0" w:line="2" w:lineRule="exact"/>
        <w:rPr>
          <w:rFonts w:ascii="Times New Roman" w:cs="Times New Roman" w:eastAsia="Times New Roman" w:hAnsi="Times New Roman"/>
          <w:sz w:val="22"/>
          <w:szCs w:val="22"/>
          <w:color w:val="auto"/>
        </w:rPr>
      </w:pPr>
    </w:p>
    <w:p>
      <w:pPr>
        <w:jc w:val="both"/>
        <w:ind w:right="399" w:firstLine="2"/>
        <w:spacing w:after="0" w:line="235" w:lineRule="auto"/>
        <w:tabs>
          <w:tab w:leader="none" w:pos="31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related Benchmark Replacement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78"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79"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earlier to occur of the following events with respect to the then-current Benchmark:</w:t>
      </w:r>
    </w:p>
    <w:p>
      <w:pPr>
        <w:spacing w:after="0" w:line="158" w:lineRule="exact"/>
        <w:rPr>
          <w:sz w:val="20"/>
          <w:szCs w:val="20"/>
          <w:color w:val="auto"/>
        </w:rPr>
      </w:pPr>
    </w:p>
    <w:p>
      <w:pPr>
        <w:jc w:val="both"/>
        <w:ind w:left="460" w:right="399" w:firstLine="755"/>
        <w:spacing w:after="0" w:line="236" w:lineRule="auto"/>
        <w:tabs>
          <w:tab w:leader="none" w:pos="159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181" w:lineRule="exact"/>
        <w:rPr>
          <w:rFonts w:ascii="Times New Roman" w:cs="Times New Roman" w:eastAsia="Times New Roman" w:hAnsi="Times New Roman"/>
          <w:sz w:val="22"/>
          <w:szCs w:val="22"/>
          <w:color w:val="auto"/>
        </w:rPr>
      </w:pPr>
    </w:p>
    <w:p>
      <w:pPr>
        <w:jc w:val="both"/>
        <w:ind w:left="460" w:right="399" w:firstLine="755"/>
        <w:spacing w:after="0" w:line="236" w:lineRule="auto"/>
        <w:tabs>
          <w:tab w:leader="none" w:pos="159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(c)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48" w:right="1440" w:bottom="1440" w:gutter="0" w:footer="0" w:header="0"/>
        </w:sectPr>
      </w:pPr>
    </w:p>
    <w:bookmarkStart w:id="38" w:name="page39"/>
    <w:bookmarkEnd w:id="38"/>
    <w:p>
      <w:pPr>
        <w:jc w:val="both"/>
        <w:ind w:left="480" w:right="399"/>
        <w:spacing w:after="0" w:line="238" w:lineRule="auto"/>
        <w:rPr>
          <w:sz w:val="20"/>
          <w:szCs w:val="20"/>
          <w:color w:val="auto"/>
        </w:rPr>
      </w:pPr>
      <w:r>
        <w:rPr>
          <w:rFonts w:ascii="Times New Roman" w:cs="Times New Roman" w:eastAsia="Times New Roman" w:hAnsi="Times New Roman"/>
          <w:sz w:val="22"/>
          <w:szCs w:val="22"/>
          <w:color w:val="auto"/>
        </w:rPr>
        <w:t xml:space="preserve">regulatory supervisor for the administrator of such Benchmark (or such component thereof) to be non-representative;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spacing w:after="0" w:line="109" w:lineRule="exact"/>
        <w:rPr>
          <w:sz w:val="20"/>
          <w:szCs w:val="20"/>
          <w:color w:val="auto"/>
        </w:rPr>
      </w:pPr>
    </w:p>
    <w:p>
      <w:pPr>
        <w:jc w:val="both"/>
        <w:ind w:right="399" w:firstLine="749"/>
        <w:spacing w:after="0" w:line="239"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13" w:lineRule="exact"/>
        <w:rPr>
          <w:sz w:val="20"/>
          <w:szCs w:val="20"/>
          <w:color w:val="auto"/>
        </w:rPr>
      </w:pPr>
    </w:p>
    <w:p>
      <w:pPr>
        <w:ind w:right="57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77" w:lineRule="exact"/>
        <w:rPr>
          <w:sz w:val="20"/>
          <w:szCs w:val="20"/>
          <w:color w:val="auto"/>
        </w:rPr>
      </w:pPr>
    </w:p>
    <w:p>
      <w:pPr>
        <w:jc w:val="both"/>
        <w:ind w:left="460" w:right="399" w:firstLine="755"/>
        <w:spacing w:after="0" w:line="235" w:lineRule="auto"/>
        <w:tabs>
          <w:tab w:leader="none" w:pos="159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such Benchmark (or such component thereof) or if such Benchmark is a term rate, all Available Tenors of such Benchmark (or such component thereof);</w:t>
      </w:r>
    </w:p>
    <w:p>
      <w:pPr>
        <w:spacing w:after="0" w:line="110" w:lineRule="exact"/>
        <w:rPr>
          <w:rFonts w:ascii="Times New Roman" w:cs="Times New Roman" w:eastAsia="Times New Roman" w:hAnsi="Times New Roman"/>
          <w:sz w:val="22"/>
          <w:szCs w:val="22"/>
          <w:color w:val="auto"/>
        </w:rPr>
      </w:pPr>
    </w:p>
    <w:p>
      <w:pPr>
        <w:jc w:val="both"/>
        <w:ind w:left="460" w:right="399" w:firstLine="755"/>
        <w:spacing w:after="0" w:line="233" w:lineRule="auto"/>
        <w:tabs>
          <w:tab w:leader="none" w:pos="159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such Benchmark (or such component thereof) or, if such Benchmark is a term rate, all Available Tenors of such Benchmark (or such component thereof); or</w:t>
      </w:r>
    </w:p>
    <w:p>
      <w:pPr>
        <w:spacing w:after="0" w:line="117" w:lineRule="exact"/>
        <w:rPr>
          <w:rFonts w:ascii="Times New Roman" w:cs="Times New Roman" w:eastAsia="Times New Roman" w:hAnsi="Times New Roman"/>
          <w:sz w:val="22"/>
          <w:szCs w:val="22"/>
          <w:color w:val="auto"/>
        </w:rPr>
      </w:pPr>
    </w:p>
    <w:p>
      <w:pPr>
        <w:jc w:val="both"/>
        <w:ind w:left="460" w:right="399" w:firstLine="755"/>
        <w:spacing w:after="0" w:line="238" w:lineRule="auto"/>
        <w:tabs>
          <w:tab w:leader="none" w:pos="159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96" w:lineRule="exact"/>
        <w:rPr>
          <w:sz w:val="20"/>
          <w:szCs w:val="20"/>
          <w:color w:val="auto"/>
        </w:rPr>
      </w:pPr>
    </w:p>
    <w:p>
      <w:pPr>
        <w:ind w:right="399" w:firstLine="749"/>
        <w:spacing w:after="0" w:line="243"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a “Benchmark Transition Event” will be deemed to have occurred with respect to any Benchmark if a public statement or</w:t>
      </w:r>
    </w:p>
    <w:p>
      <w:pPr>
        <w:ind w:left="520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39" w:name="page40"/>
    <w:bookmarkEnd w:id="39"/>
    <w:p>
      <w:pPr>
        <w:jc w:val="both"/>
        <w:ind w:right="399"/>
        <w:spacing w:after="0" w:line="258" w:lineRule="auto"/>
        <w:rPr>
          <w:sz w:val="20"/>
          <w:szCs w:val="20"/>
          <w:color w:val="auto"/>
        </w:rPr>
      </w:pPr>
      <w:r>
        <w:rPr>
          <w:rFonts w:ascii="Times New Roman" w:cs="Times New Roman" w:eastAsia="Times New Roman" w:hAnsi="Times New Roman"/>
          <w:sz w:val="22"/>
          <w:szCs w:val="22"/>
          <w:color w:val="auto"/>
        </w:rPr>
        <w:t>publication of information set forth above has occurred with respect to each then-current Available Tenor of such Benchmark (or the published component used in the calculation thereof).</w:t>
      </w:r>
    </w:p>
    <w:p>
      <w:pPr>
        <w:spacing w:after="0" w:line="158"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Start Date</w:t>
      </w:r>
      <w:r>
        <w:rPr>
          <w:rFonts w:ascii="Times New Roman" w:cs="Times New Roman" w:eastAsia="Times New Roman" w:hAnsi="Times New Roman"/>
          <w:sz w:val="22"/>
          <w:szCs w:val="22"/>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1"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means the period (if any) (a) beginning at the time that a Benchmark Replacement Date has occurred if, at such time, no Benchmark Replacement has replaced the then-current Benchmark for all purposes hereunder and under any other Loan Document in accordance with </w:t>
      </w:r>
      <w:r>
        <w:rPr>
          <w:rFonts w:ascii="Times New Roman" w:cs="Times New Roman" w:eastAsia="Times New Roman" w:hAnsi="Times New Roman"/>
          <w:sz w:val="22"/>
          <w:szCs w:val="22"/>
          <w:u w:val="single" w:color="auto"/>
          <w:color w:val="auto"/>
        </w:rPr>
        <w:t>Section 3.03(c)</w:t>
      </w:r>
      <w:r>
        <w:rPr>
          <w:rFonts w:ascii="Times New Roman" w:cs="Times New Roman" w:eastAsia="Times New Roman" w:hAnsi="Times New Roman"/>
          <w:sz w:val="22"/>
          <w:szCs w:val="22"/>
          <w:color w:val="auto"/>
        </w:rPr>
        <w:t xml:space="preserve"> and (b) ending at the time that a Benchmark Replacement has replaced the then-current Benchmark for all purposes hereunder and under any other Loan Document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3.03(c)</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117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06"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0" w:lineRule="exact"/>
        <w:rPr>
          <w:sz w:val="20"/>
          <w:szCs w:val="20"/>
          <w:color w:val="auto"/>
        </w:rPr>
      </w:pPr>
    </w:p>
    <w:p>
      <w:pPr>
        <w:ind w:right="143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Bethel Gas Plant</w:t>
      </w:r>
      <w:r>
        <w:rPr>
          <w:rFonts w:ascii="Times New Roman" w:cs="Times New Roman" w:eastAsia="Times New Roman" w:hAnsi="Times New Roman"/>
          <w:sz w:val="22"/>
          <w:szCs w:val="22"/>
          <w:color w:val="auto"/>
        </w:rPr>
        <w:t>” means that certain natural gas processing plant located in Robertson County, Texas and owned and operated by PGT.</w:t>
      </w:r>
    </w:p>
    <w:p>
      <w:pPr>
        <w:spacing w:after="0" w:line="158" w:lineRule="exact"/>
        <w:rPr>
          <w:sz w:val="20"/>
          <w:szCs w:val="20"/>
          <w:color w:val="auto"/>
        </w:rPr>
      </w:pPr>
    </w:p>
    <w:p>
      <w:pPr>
        <w:ind w:right="111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Governors of the Federal Reserve System of the United States or any successor Governmental Authority.</w:t>
      </w:r>
    </w:p>
    <w:p>
      <w:pPr>
        <w:spacing w:after="0" w:line="158" w:lineRule="exact"/>
        <w:rPr>
          <w:sz w:val="20"/>
          <w:szCs w:val="20"/>
          <w:color w:val="auto"/>
        </w:rPr>
      </w:pPr>
    </w:p>
    <w:p>
      <w:pPr>
        <w:ind w:right="143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158" w:lineRule="exact"/>
        <w:rPr>
          <w:sz w:val="20"/>
          <w:szCs w:val="20"/>
          <w:color w:val="auto"/>
        </w:rPr>
      </w:pPr>
    </w:p>
    <w:p>
      <w:pPr>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means materials and/or information provided by or on behalf of the Borrower under the Loan Documents.</w:t>
      </w:r>
    </w:p>
    <w:p>
      <w:pPr>
        <w:spacing w:after="0" w:line="158" w:lineRule="exact"/>
        <w:rPr>
          <w:sz w:val="20"/>
          <w:szCs w:val="20"/>
          <w:color w:val="auto"/>
        </w:rPr>
      </w:pPr>
    </w:p>
    <w:p>
      <w:pPr>
        <w:ind w:right="137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xml:space="preserve"> ” means Loans of the same Type, made, converted or continued on the same date and, in the case of SOFR Loans, as to which a single Interest Period is in effect.</w:t>
      </w:r>
    </w:p>
    <w:p>
      <w:pPr>
        <w:spacing w:after="0" w:line="158" w:lineRule="exact"/>
        <w:rPr>
          <w:sz w:val="20"/>
          <w:szCs w:val="20"/>
          <w:color w:val="auto"/>
        </w:rPr>
      </w:pPr>
    </w:p>
    <w:p>
      <w:pPr>
        <w:ind w:right="109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xml:space="preserve">” means a request by the Borrower for a Borrowing in accordance with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759" w:firstLine="749"/>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 has the meaning assigned to such term in the applicable Flood Insurance Regulation.</w:t>
      </w:r>
    </w:p>
    <w:p>
      <w:pPr>
        <w:ind w:left="520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40" w:name="page41"/>
    <w:bookmarkEnd w:id="40"/>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other day on which commercial banks in New York, New York or Dallas, Texas are authorized or required by law to remain closed.</w:t>
      </w:r>
    </w:p>
    <w:p>
      <w:pPr>
        <w:spacing w:after="0" w:line="158"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mean, individually or collectively with respect to any Person, any and all expenditures and costs that are capitalized on the balance sheet of such Person in accordance with GAAP.</w:t>
      </w:r>
    </w:p>
    <w:p>
      <w:pPr>
        <w:spacing w:after="0" w:line="173"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 Obligations</w:t>
      </w:r>
      <w:r>
        <w:rPr>
          <w:rFonts w:ascii="Times New Roman" w:cs="Times New Roman" w:eastAsia="Times New Roman" w:hAnsi="Times New Roman"/>
          <w:sz w:val="22"/>
          <w:szCs w:val="22"/>
          <w:color w:val="auto"/>
        </w:rPr>
        <w:t>” of any Person means the obligations of such Person to pay rent or other amounts under any Capital Lease, and the amount of such obligations shall be the capitalized amount thereof determined in accordance with GAAP.</w:t>
      </w:r>
    </w:p>
    <w:p>
      <w:pPr>
        <w:spacing w:after="0" w:line="173"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Leases</w:t>
      </w:r>
      <w:r>
        <w:rPr>
          <w:rFonts w:ascii="Times New Roman" w:cs="Times New Roman" w:eastAsia="Times New Roman" w:hAnsi="Times New Roman"/>
          <w:sz w:val="22"/>
          <w:szCs w:val="22"/>
          <w:color w:val="auto"/>
        </w:rPr>
        <w:t xml:space="preserve">” means, in respect of any Person, all leases that shall have been, or should have been, in accordance with GAAP, recorded as capital leases or financing leases on the balance sheet of the Person liable (whether contingent or otherwise) for the payment of rent thereunder;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purposes of this Agreement and the other Loan Documents, the amount of obligations under any Capital Lease shall be the amount thereof accounted for as a liability on the balance sheet of such Person in accordance with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means, to pledge and deposit with or deliver to the Administrative Agent, for the benefit of the Issuing Bank, as collateral for obligations of Loan Parties in respect of Letters of Credit or obligations of Lenders to acquire participations in Letters of Credit, cash or deposit account balances or, if the Administrative Agent and the Issuing Bank shall agree in their sole discretion, other credit support, in each case pursuant to documentation in form and substance satisfactory to the Administrative Agent and each applicable Issuing Bank. “</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has a meaning correlative to the foregoing and shall include the proceeds of such cash collateral and other credit support.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right="399" w:firstLine="751"/>
        <w:spacing w:after="0" w:line="239" w:lineRule="auto"/>
        <w:tabs>
          <w:tab w:leader="none" w:pos="109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80" w:lineRule="exact"/>
        <w:rPr>
          <w:rFonts w:ascii="Times New Roman" w:cs="Times New Roman" w:eastAsia="Times New Roman" w:hAnsi="Times New Roman"/>
          <w:sz w:val="22"/>
          <w:szCs w:val="22"/>
          <w:color w:val="auto"/>
        </w:rPr>
      </w:pPr>
    </w:p>
    <w:p>
      <w:pPr>
        <w:jc w:val="both"/>
        <w:ind w:right="399" w:firstLine="751"/>
        <w:spacing w:after="0" w:line="244" w:lineRule="auto"/>
        <w:tabs>
          <w:tab w:leader="none" w:pos="109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two hundred seventy (270) days from the date of acquisition thereof and having, at such date of acquisition, the highest credit rating obtainable from S&amp;P or Moody’s;</w:t>
      </w:r>
    </w:p>
    <w:p>
      <w:pPr>
        <w:spacing w:after="0" w:line="173" w:lineRule="exact"/>
        <w:rPr>
          <w:rFonts w:ascii="Times New Roman" w:cs="Times New Roman" w:eastAsia="Times New Roman" w:hAnsi="Times New Roman"/>
          <w:sz w:val="22"/>
          <w:szCs w:val="22"/>
          <w:color w:val="auto"/>
        </w:rPr>
      </w:pPr>
    </w:p>
    <w:p>
      <w:pPr>
        <w:jc w:val="both"/>
        <w:ind w:right="399" w:firstLine="751"/>
        <w:spacing w:after="0" w:line="235" w:lineRule="auto"/>
        <w:tabs>
          <w:tab w:leader="none" w:pos="109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certificates of deposit, banker’s acceptances and time deposits maturing within one hundred eighty (180)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41" w:name="page42"/>
    <w:bookmarkEnd w:id="41"/>
    <w:p>
      <w:pPr>
        <w:jc w:val="both"/>
        <w:ind w:right="399" w:firstLine="751"/>
        <w:spacing w:after="0" w:line="244" w:lineRule="auto"/>
        <w:tabs>
          <w:tab w:leader="none" w:pos="109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fully collateralized repurchase agreements with a term of not more than thirty (30) days for securities described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and entered into with a financial institution satisfying the criteria described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above; and</w:t>
      </w:r>
    </w:p>
    <w:p>
      <w:pPr>
        <w:spacing w:after="0" w:line="92" w:lineRule="exact"/>
        <w:rPr>
          <w:rFonts w:ascii="Times New Roman" w:cs="Times New Roman" w:eastAsia="Times New Roman" w:hAnsi="Times New Roman"/>
          <w:sz w:val="22"/>
          <w:szCs w:val="22"/>
          <w:color w:val="auto"/>
        </w:rPr>
      </w:pPr>
    </w:p>
    <w:p>
      <w:pPr>
        <w:jc w:val="both"/>
        <w:ind w:right="399" w:firstLine="751"/>
        <w:spacing w:after="0" w:line="244" w:lineRule="auto"/>
        <w:tabs>
          <w:tab w:leader="none" w:pos="109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or similar funds that (i) comply with the criteria set forth in SEC Rule 2a-7 under the Investment Company Act of 1940, (ii) are rated AAA by S&amp;P or Aaa by Moody’s and (iii) have portfolio assets of at least $5,000,000,000.</w:t>
      </w:r>
    </w:p>
    <w:p>
      <w:pPr>
        <w:spacing w:after="0" w:line="106"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Event</w:t>
      </w:r>
      <w:r>
        <w:rPr>
          <w:rFonts w:ascii="Times New Roman" w:cs="Times New Roman" w:eastAsia="Times New Roman" w:hAnsi="Times New Roman"/>
          <w:sz w:val="22"/>
          <w:szCs w:val="22"/>
          <w:color w:val="auto"/>
        </w:rPr>
        <w:t>” means any loss, casualty or other insured damage to, or any nationalization, taking under power of eminent domain or by condemnation or similar proceeding of, any Property of the Borrower or any other Relevant Party.</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occurrence of any of the following: Comstock, shall</w:t>
      </w:r>
    </w:p>
    <w:p>
      <w:pPr>
        <w:spacing w:after="0" w:line="125" w:lineRule="exact"/>
        <w:rPr>
          <w:sz w:val="20"/>
          <w:szCs w:val="20"/>
          <w:color w:val="auto"/>
        </w:rPr>
      </w:pPr>
    </w:p>
    <w:p>
      <w:pPr>
        <w:jc w:val="both"/>
        <w:ind w:right="399" w:firstLine="2"/>
        <w:spacing w:after="0" w:line="238" w:lineRule="auto"/>
        <w:tabs>
          <w:tab w:leader="none" w:pos="36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cease to beneficially own and Control, directly or indirectly, Equity Interests in the Borrower representing more than 50% of the aggregate ordinary voting power and economic interests represented by the issued and outstanding Equity Interests in the Borrower, (b) lose the ability to directly or indirectly appoint at least a majority of the members of the board of managers of the Borrower, or (c) otherwise lose the ability to Control the Borrower.</w:t>
      </w:r>
    </w:p>
    <w:p>
      <w:pPr>
        <w:spacing w:after="0" w:line="1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means the occurrence, after the date of this Agreement, of any of the following:</w:t>
      </w:r>
    </w:p>
    <w:p>
      <w:pPr>
        <w:spacing w:after="0" w:line="14" w:lineRule="exact"/>
        <w:rPr>
          <w:sz w:val="20"/>
          <w:szCs w:val="20"/>
          <w:color w:val="auto"/>
        </w:rPr>
      </w:pPr>
    </w:p>
    <w:p>
      <w:pPr>
        <w:jc w:val="both"/>
        <w:ind w:right="399" w:firstLine="2"/>
        <w:spacing w:after="0" w:line="232" w:lineRule="auto"/>
        <w:tabs>
          <w:tab w:leader="none" w:pos="32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09" w:lineRule="exact"/>
        <w:rPr>
          <w:sz w:val="20"/>
          <w:szCs w:val="20"/>
          <w:color w:val="auto"/>
        </w:rPr>
      </w:pPr>
    </w:p>
    <w:p>
      <w:pPr>
        <w:jc w:val="both"/>
        <w:ind w:right="41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 and any successor statute.</w:t>
      </w:r>
    </w:p>
    <w:p>
      <w:pPr>
        <w:spacing w:after="0" w:line="77"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any and all Property of the Loan Parties or any other Person, in each case in or on which a Lien has been granted under one or more Security Instruments to secure the Secured Obligations, but excluding any Excluded Assets.</w:t>
      </w:r>
    </w:p>
    <w:p>
      <w:pPr>
        <w:spacing w:after="0" w:line="106" w:lineRule="exact"/>
        <w:rPr>
          <w:sz w:val="20"/>
          <w:szCs w:val="20"/>
          <w:color w:val="auto"/>
        </w:rPr>
      </w:pPr>
    </w:p>
    <w:p>
      <w:pPr>
        <w:jc w:val="both"/>
        <w:ind w:right="39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 Operation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clause (b)(i)</w:t>
      </w:r>
      <w:r>
        <w:rPr>
          <w:rFonts w:ascii="Times New Roman" w:cs="Times New Roman" w:eastAsia="Times New Roman" w:hAnsi="Times New Roman"/>
          <w:sz w:val="22"/>
          <w:szCs w:val="22"/>
          <w:color w:val="auto"/>
        </w:rPr>
        <w:t xml:space="preserve"> of the definition of the term “Consolidated EBITDA”.</w:t>
      </w:r>
    </w:p>
    <w:p>
      <w:pPr>
        <w:spacing w:after="0" w:line="91"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xml:space="preserve">” means, with respect to each Lender, the commitment of such Lender to make Loans and to acquire participations in Letters of Credit hereunder during the Availability Period, expressed as an amount representing the maximum aggregate amount of such Lender’s Revolving Credit Exposure hereunder, as such commitment may be (a) modified from time to time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and (b) modified from time to time pursuant to assignments by or to such Lender pursuant to </w:t>
      </w:r>
      <w:r>
        <w:rPr>
          <w:rFonts w:ascii="Times New Roman" w:cs="Times New Roman" w:eastAsia="Times New Roman" w:hAnsi="Times New Roman"/>
          <w:sz w:val="22"/>
          <w:szCs w:val="22"/>
          <w:u w:val="single" w:color="auto"/>
          <w:color w:val="auto"/>
        </w:rPr>
        <w:t>Section 12.04(a)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The initial amount of each Lender’s Commitment is</w:t>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233" w:right="1440" w:bottom="1440" w:gutter="0" w:footer="0" w:header="0"/>
        </w:sectPr>
      </w:pPr>
    </w:p>
    <w:bookmarkStart w:id="42" w:name="page43"/>
    <w:bookmarkEnd w:id="42"/>
    <w:p>
      <w:pPr>
        <w:jc w:val="both"/>
        <w:ind w:right="399"/>
        <w:spacing w:after="0" w:line="239" w:lineRule="auto"/>
        <w:rPr>
          <w:sz w:val="20"/>
          <w:szCs w:val="20"/>
          <w:color w:val="auto"/>
        </w:rPr>
      </w:pPr>
      <w:r>
        <w:rPr>
          <w:rFonts w:ascii="Times New Roman" w:cs="Times New Roman" w:eastAsia="Times New Roman" w:hAnsi="Times New Roman"/>
          <w:sz w:val="22"/>
          <w:szCs w:val="22"/>
          <w:color w:val="auto"/>
        </w:rPr>
        <w:t xml:space="preserve">set forth on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in the Assignment and Assumption pursuant to which such Lender shall have assumed its Commitment or in the Additional Lender Agreement pursuant to which any Additional Lender shall have provided any Additional Commitment, as applicable. The aggregate amount of the Lenders’ Commitments as of the Effective Date is $150,000,000.</w:t>
      </w:r>
    </w:p>
    <w:p>
      <w:pPr>
        <w:spacing w:after="0" w:line="180"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Fee Rate</w:t>
      </w:r>
      <w:r>
        <w:rPr>
          <w:rFonts w:ascii="Times New Roman" w:cs="Times New Roman" w:eastAsia="Times New Roman" w:hAnsi="Times New Roman"/>
          <w:sz w:val="22"/>
          <w:szCs w:val="22"/>
          <w:color w:val="auto"/>
        </w:rPr>
        <w:t xml:space="preserve">” means, at any time, the applicable per annum rate set forth in the grid contained in the definition of the term “Applicable Margin” under the heading “Commitment Fee Rate”, as determined in accordance with such definition;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period commencing on the Effective Date and continuing until, but excluding, the date on which financial statements and a compliance certificate are delivered pursuant to </w:t>
      </w:r>
      <w:r>
        <w:rPr>
          <w:rFonts w:ascii="Times New Roman" w:cs="Times New Roman" w:eastAsia="Times New Roman" w:hAnsi="Times New Roman"/>
          <w:sz w:val="22"/>
          <w:szCs w:val="22"/>
          <w:u w:val="single" w:color="auto"/>
          <w:color w:val="auto"/>
        </w:rPr>
        <w:t>Sections 8.01(b)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in respect of the fiscal quarter of the Borrower ending June 30, 2026, the “Commitment Fee Rate” means the rate per annum set forth on the grid when the Consolidated Net Leverage Ratio is at level “V” in the grid set forth in the definition of “Applicable Margin”.</w:t>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Increase Agreement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2.06(d)(ii)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Account</w:t>
      </w:r>
      <w:r>
        <w:rPr>
          <w:rFonts w:ascii="Times New Roman" w:cs="Times New Roman" w:eastAsia="Times New Roman" w:hAnsi="Times New Roman"/>
          <w:sz w:val="22"/>
          <w:szCs w:val="22"/>
          <w:color w:val="auto"/>
        </w:rPr>
        <w:t>” shall have the meaning set forth in Article 9 of the UCC.</w:t>
      </w:r>
    </w:p>
    <w:p>
      <w:pPr>
        <w:spacing w:after="0" w:line="206" w:lineRule="exact"/>
        <w:rPr>
          <w:sz w:val="20"/>
          <w:szCs w:val="20"/>
          <w:color w:val="auto"/>
        </w:rPr>
      </w:pPr>
    </w:p>
    <w:p>
      <w:pPr>
        <w:jc w:val="both"/>
        <w:ind w:right="399"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means the Commodity Exchange Act (7 U.S.C. 1, et seq.), as amended from time to time, any successor statute, and any rule, regulation, or order of the Commodities Futures Trading Commission or any successor Governmental Authority, and any application or official interpretation of any thereof.</w:t>
      </w:r>
    </w:p>
    <w:p>
      <w:pPr>
        <w:spacing w:after="0" w:line="180"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w:t>
      </w:r>
      <w:r>
        <w:rPr>
          <w:rFonts w:ascii="Times New Roman" w:cs="Times New Roman" w:eastAsia="Times New Roman" w:hAnsi="Times New Roman"/>
          <w:sz w:val="22"/>
          <w:szCs w:val="22"/>
          <w:color w:val="auto"/>
        </w:rPr>
        <w:t>” means any Loan Document and any document, amendment, approval, consent, information, notice, certificate, report, statement, disclosure, certification or authorization related to any Loan Document.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Comstock</w:t>
      </w:r>
      <w:r>
        <w:rPr>
          <w:rFonts w:ascii="Times New Roman" w:cs="Times New Roman" w:eastAsia="Times New Roman" w:hAnsi="Times New Roman"/>
          <w:sz w:val="22"/>
          <w:szCs w:val="22"/>
          <w:color w:val="auto"/>
        </w:rPr>
        <w:t>” means Comstock Resources, Inc., a Nevada corporation.</w:t>
      </w:r>
    </w:p>
    <w:p>
      <w:pPr>
        <w:spacing w:after="0" w:line="206" w:lineRule="exact"/>
        <w:rPr>
          <w:sz w:val="20"/>
          <w:szCs w:val="20"/>
          <w:color w:val="auto"/>
        </w:rPr>
      </w:pPr>
    </w:p>
    <w:p>
      <w:pPr>
        <w:jc w:val="both"/>
        <w:ind w:right="399" w:firstLine="747"/>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1"/>
          <w:szCs w:val="21"/>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and other technical, administrative or operational matters) that the Administrative Agent reasonably determines may be appropriate to reflect the adoption and implementation of any such rate or to permit the use and administration thereof by the Administrative Agent in a manner substantially consistent with market practice (or, if the Administrative Agent reasonably determines that adoption of any portion of such market practice is not administratively feasible or if the Administrative Agent reasonably determines that no market practice for the administration of any such rate exists, in such other manner of administration as the Administrative Agent reasonably determines is necessary in connection with the administration of this Agreement and the other Loan Documents).</w:t>
      </w:r>
    </w:p>
    <w:p>
      <w:pPr>
        <w:spacing w:after="0" w:line="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EBITDA</w:t>
      </w:r>
      <w:r>
        <w:rPr>
          <w:rFonts w:ascii="Times New Roman" w:cs="Times New Roman" w:eastAsia="Times New Roman" w:hAnsi="Times New Roman"/>
          <w:sz w:val="22"/>
          <w:szCs w:val="22"/>
          <w:color w:val="auto"/>
        </w:rPr>
        <w:t>” means, for any Rolling Period, the sum, without duplication, of:</w:t>
      </w:r>
    </w:p>
    <w:p>
      <w:pPr>
        <w:spacing w:after="0" w:line="202" w:lineRule="exact"/>
        <w:rPr>
          <w:sz w:val="20"/>
          <w:szCs w:val="20"/>
          <w:color w:val="auto"/>
        </w:rPr>
      </w:pPr>
    </w:p>
    <w:p>
      <w:pPr>
        <w:ind w:left="1220" w:hanging="745"/>
        <w:spacing w:after="0"/>
        <w:tabs>
          <w:tab w:leader="none" w:pos="12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Unadjusted Consolidated EBITDA for such Rolling Period; </w:t>
      </w:r>
      <w:r>
        <w:rPr>
          <w:rFonts w:ascii="Times New Roman" w:cs="Times New Roman" w:eastAsia="Times New Roman" w:hAnsi="Times New Roman"/>
          <w:sz w:val="22"/>
          <w:szCs w:val="22"/>
          <w:i w:val="1"/>
          <w:iCs w:val="1"/>
          <w:color w:val="auto"/>
        </w:rPr>
        <w:t>plus</w:t>
      </w:r>
    </w:p>
    <w:p>
      <w:pPr>
        <w:spacing w:after="0" w:line="210" w:lineRule="exact"/>
        <w:rPr>
          <w:rFonts w:ascii="Times New Roman" w:cs="Times New Roman" w:eastAsia="Times New Roman" w:hAnsi="Times New Roman"/>
          <w:sz w:val="22"/>
          <w:szCs w:val="22"/>
          <w:color w:val="auto"/>
        </w:rPr>
      </w:pPr>
    </w:p>
    <w:p>
      <w:pPr>
        <w:jc w:val="both"/>
        <w:ind w:left="-280" w:right="379" w:firstLine="755"/>
        <w:spacing w:after="0" w:line="235" w:lineRule="auto"/>
        <w:tabs>
          <w:tab w:leader="none" w:pos="85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Borrower’s option with respect to any calculation of Consolidated EBITDA for any Rolling Period, any “Material Project EBITDA Adjustments” as provided below, which adjustments under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below shall be made in a manner, and subject to documentation, approved by the Administrative Agent (which approval shall not be unreasonably withheld, conditioned or delayed). As used herein, “</w:t>
      </w:r>
      <w:r>
        <w:rPr>
          <w:rFonts w:ascii="Times New Roman" w:cs="Times New Roman" w:eastAsia="Times New Roman" w:hAnsi="Times New Roman"/>
          <w:sz w:val="22"/>
          <w:szCs w:val="22"/>
          <w:u w:val="single" w:color="auto"/>
          <w:color w:val="auto"/>
        </w:rPr>
        <w:t>Material Project</w:t>
      </w:r>
      <w:r>
        <w:rPr>
          <w:rFonts w:ascii="Times New Roman" w:cs="Times New Roman" w:eastAsia="Times New Roman" w:hAnsi="Times New Roman"/>
          <w:sz w:val="22"/>
          <w:szCs w:val="22"/>
          <w:color w:val="auto"/>
        </w:rPr>
        <w:t>” means any Project of any Relevant Party, the aggregate capital cost of which (inclusive of capital costs expended prior to the acquisition thereof) is reasonably expected by the Borrower to exceed, or exceeds, $5,000,000. As used herein, “</w:t>
      </w:r>
      <w:r>
        <w:rPr>
          <w:rFonts w:ascii="Times New Roman" w:cs="Times New Roman" w:eastAsia="Times New Roman" w:hAnsi="Times New Roman"/>
          <w:sz w:val="22"/>
          <w:szCs w:val="22"/>
          <w:u w:val="single" w:color="auto"/>
          <w:color w:val="auto"/>
        </w:rPr>
        <w:t>Material Project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EBITDA Adjustments</w:t>
      </w:r>
      <w:r>
        <w:rPr>
          <w:rFonts w:ascii="Times New Roman" w:cs="Times New Roman" w:eastAsia="Times New Roman" w:hAnsi="Times New Roman"/>
          <w:sz w:val="22"/>
          <w:szCs w:val="22"/>
          <w:color w:val="auto"/>
        </w:rPr>
        <w:t>” means, with respect to each Material Project:</w:t>
      </w:r>
    </w:p>
    <w:p>
      <w:pPr>
        <w:spacing w:after="0" w:line="178" w:lineRule="exact"/>
        <w:rPr>
          <w:rFonts w:ascii="Times New Roman" w:cs="Times New Roman" w:eastAsia="Times New Roman" w:hAnsi="Times New Roman"/>
          <w:sz w:val="22"/>
          <w:szCs w:val="22"/>
          <w:color w:val="auto"/>
        </w:rPr>
      </w:pPr>
    </w:p>
    <w:p>
      <w:pPr>
        <w:jc w:val="both"/>
        <w:ind w:left="760" w:right="399" w:firstLine="749"/>
        <w:spacing w:after="0" w:line="242" w:lineRule="auto"/>
        <w:tabs>
          <w:tab w:leader="none" w:pos="1874"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date on which a Material Project has achieved commercial operation (the “</w:t>
      </w:r>
      <w:r>
        <w:rPr>
          <w:rFonts w:ascii="Times New Roman" w:cs="Times New Roman" w:eastAsia="Times New Roman" w:hAnsi="Times New Roman"/>
          <w:sz w:val="21"/>
          <w:szCs w:val="21"/>
          <w:u w:val="single" w:color="auto"/>
          <w:color w:val="auto"/>
        </w:rPr>
        <w:t>Commercial Operation Date</w:t>
      </w:r>
      <w:r>
        <w:rPr>
          <w:rFonts w:ascii="Times New Roman" w:cs="Times New Roman" w:eastAsia="Times New Roman" w:hAnsi="Times New Roman"/>
          <w:sz w:val="21"/>
          <w:szCs w:val="21"/>
          <w:color w:val="auto"/>
        </w:rPr>
        <w:t>”) (but including the Rolling Period ending on the last day of the fiscal quarter in which such Commercial Operation Date occurs), a percentage (based on the then-current completion percentage of such Material Project as of the relevant date of determination) of an amount to be approved by the Administrative Agent as the incremental projected Unadjusted Consolidated EBITDA attributable to such Material Project for the first 12-month period following the scheduled Commercial Operation Date of such Material Project (such amount to be determined based upon incremental projected revenues from (i) enforceable minimum revenue contracts or minimum volume commitments, in either case, reasonably acceptable to the Administrative Agent or (ii) other contracts acceptable to the Administrative Agent in its sole discretion and, in the case of either of the foregoing clauses (i) and (ii), entered into between one or more Relevant Parties, on the one hand, and third-party customers (or, if approved by the Administrative Agent and on arms’ length terms, Affiliates), on the other, and with creditworthiness and applicable projected production of such customers, capital and other costs, operating and administrative expenses, the scheduled Commercial Operation Date, commodity price assumptions and other factors reasonably, in each case, deemed appropriate by the Administrative Agent), which may, at the Borrower’s option, be added to Unadjusted Consolidated EBITDA for the Rolling Period ending on the last day of the fiscal quarter in which construction or expansion of such Material Project commences and for each Rolling Period thereafter until the Commercial Operation Date of such Material Project (including the Rolling Period ending on the last day of the fiscal quarter in which such Commercial Operation Date occurs, but net of any Unadjusted Consolidated EBITDA attributable to such Material Project following such Commercial Operation Date); provided, that if the actual Commercial Operation Date does not occur by the scheduled Commercial Operation Date, then the foregoing amount shall be reduced, for Rolling Periods ending after the scheduled Commercial Operation Date to (but excluding) the Rolling Period ending on the last day of the first full quarter after its Commercial Operation Date, by the following percentage amounts depending on the period of delay (based on the period of actual delay or then-estimated delay, whichever is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655955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44" w:name="page45"/>
    <w:bookmarkEnd w:id="44"/>
    <w:p>
      <w:pPr>
        <w:jc w:val="both"/>
        <w:ind w:left="1500" w:right="399"/>
        <w:spacing w:after="0" w:line="244" w:lineRule="auto"/>
        <w:rPr>
          <w:sz w:val="20"/>
          <w:szCs w:val="20"/>
          <w:color w:val="auto"/>
        </w:rPr>
      </w:pPr>
      <w:r>
        <w:rPr>
          <w:rFonts w:ascii="Times New Roman" w:cs="Times New Roman" w:eastAsia="Times New Roman" w:hAnsi="Times New Roman"/>
          <w:sz w:val="22"/>
          <w:szCs w:val="22"/>
          <w:color w:val="auto"/>
        </w:rPr>
        <w:t>longer): (A) 90 days or less, 0%, (B) longer than 90 days, but not more than 180 days, 25%, (C) longer than 180 days but not more than 270 days, 50%, (D) longer than 270 days but not more than 365 days, 75%, and (E) longer than 365 days, 100%; and</w:t>
      </w:r>
    </w:p>
    <w:p>
      <w:pPr>
        <w:spacing w:after="0" w:line="173" w:lineRule="exact"/>
        <w:rPr>
          <w:sz w:val="20"/>
          <w:szCs w:val="20"/>
          <w:color w:val="auto"/>
        </w:rPr>
      </w:pPr>
    </w:p>
    <w:p>
      <w:pPr>
        <w:jc w:val="both"/>
        <w:ind w:left="1500" w:right="399" w:firstLine="749"/>
        <w:spacing w:after="0" w:line="235" w:lineRule="auto"/>
        <w:tabs>
          <w:tab w:leader="none" w:pos="261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beginning with the Rolling Period ending on the last day of the first full fiscal quarter following the Commercial Operation Date of a Material Project and for the two immediately succeeding Rolling Periods, an amount approved by the Administrative Agent as the projected Unadjusted Consolidated EBITDA (determined in the same manner set forth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attributable to such Material Project for the balance of the four full fiscal quarter period following such Commercial Operation Date, which may, at the Borrower’s option, be added to Unadjusted Consolidated EBITDA for such Rolling Periods.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Notwithstanding the foregoing:</w:t>
      </w:r>
    </w:p>
    <w:p>
      <w:pPr>
        <w:spacing w:after="0" w:line="206" w:lineRule="exact"/>
        <w:rPr>
          <w:sz w:val="20"/>
          <w:szCs w:val="20"/>
          <w:color w:val="auto"/>
        </w:rPr>
      </w:pPr>
    </w:p>
    <w:p>
      <w:pPr>
        <w:jc w:val="both"/>
        <w:ind w:left="760" w:right="399" w:firstLine="749"/>
        <w:spacing w:after="0" w:line="258" w:lineRule="auto"/>
        <w:rPr>
          <w:sz w:val="20"/>
          <w:szCs w:val="20"/>
          <w:color w:val="auto"/>
        </w:rPr>
      </w:pPr>
      <w:r>
        <w:rPr>
          <w:rFonts w:ascii="Times New Roman" w:cs="Times New Roman" w:eastAsia="Times New Roman" w:hAnsi="Times New Roman"/>
          <w:sz w:val="22"/>
          <w:szCs w:val="22"/>
          <w:color w:val="auto"/>
        </w:rPr>
        <w:t>(1)no Material Project EBITDA Adjustment shall be allowed with respect to a Material Project unless:</w:t>
      </w:r>
    </w:p>
    <w:p>
      <w:pPr>
        <w:spacing w:after="0" w:line="158" w:lineRule="exact"/>
        <w:rPr>
          <w:sz w:val="20"/>
          <w:szCs w:val="20"/>
          <w:color w:val="auto"/>
        </w:rPr>
      </w:pPr>
    </w:p>
    <w:p>
      <w:pPr>
        <w:jc w:val="both"/>
        <w:ind w:left="760" w:right="399" w:firstLine="749"/>
        <w:spacing w:after="0" w:line="236" w:lineRule="auto"/>
        <w:rPr>
          <w:sz w:val="20"/>
          <w:szCs w:val="20"/>
          <w:color w:val="auto"/>
        </w:rPr>
      </w:pPr>
      <w:r>
        <w:rPr>
          <w:rFonts w:ascii="Times New Roman" w:cs="Times New Roman" w:eastAsia="Times New Roman" w:hAnsi="Times New Roman"/>
          <w:sz w:val="22"/>
          <w:szCs w:val="22"/>
          <w:color w:val="auto"/>
        </w:rPr>
        <w:t>(x)at least 30 days (or such lesser period as is reasonably acceptable to the Administrative Agent) prior to the last day of the Rolling Period for which the Borrower desires to commence inclusion of such Material Project EBITDA Adjustment in Consolidated EBITDA (the “</w:t>
      </w:r>
      <w:r>
        <w:rPr>
          <w:rFonts w:ascii="Times New Roman" w:cs="Times New Roman" w:eastAsia="Times New Roman" w:hAnsi="Times New Roman"/>
          <w:sz w:val="22"/>
          <w:szCs w:val="22"/>
          <w:u w:val="single" w:color="auto"/>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MPA Period</w:t>
      </w:r>
      <w:r>
        <w:rPr>
          <w:rFonts w:ascii="Times New Roman" w:cs="Times New Roman" w:eastAsia="Times New Roman" w:hAnsi="Times New Roman"/>
          <w:sz w:val="22"/>
          <w:szCs w:val="22"/>
          <w:color w:val="auto"/>
        </w:rPr>
        <w:t xml:space="preserve">”), the Borrower shall have delivered to the Administrative Agent written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projections of Unadjusted Consolidated EBITDA attributable to such Material Project EBITDA Adjustments; and</w:t>
      </w:r>
    </w:p>
    <w:p>
      <w:pPr>
        <w:spacing w:after="0" w:line="73" w:lineRule="exact"/>
        <w:rPr>
          <w:sz w:val="20"/>
          <w:szCs w:val="20"/>
          <w:color w:val="auto"/>
        </w:rPr>
      </w:pPr>
    </w:p>
    <w:p>
      <w:pPr>
        <w:jc w:val="both"/>
        <w:ind w:left="760" w:right="399" w:firstLine="749"/>
        <w:spacing w:after="0" w:line="255" w:lineRule="auto"/>
        <w:rPr>
          <w:sz w:val="20"/>
          <w:szCs w:val="20"/>
          <w:color w:val="auto"/>
        </w:rPr>
      </w:pPr>
      <w:r>
        <w:rPr>
          <w:rFonts w:ascii="Times New Roman" w:cs="Times New Roman" w:eastAsia="Times New Roman" w:hAnsi="Times New Roman"/>
          <w:sz w:val="21"/>
          <w:szCs w:val="21"/>
          <w:color w:val="auto"/>
        </w:rPr>
        <w:t xml:space="preserve">(y)prior to the last day of the Initial MPA Period, the Administrative Agent shall have approved (such approval not to be unreasonably withheld) such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projections and shall have received such other information and documentation as the Administrative Agent may reasonably request, all in form and substance reasonably satisfactory to the Administrative Agent;</w:t>
      </w:r>
    </w:p>
    <w:p>
      <w:pPr>
        <w:spacing w:after="0" w:line="54" w:lineRule="exact"/>
        <w:rPr>
          <w:sz w:val="20"/>
          <w:szCs w:val="20"/>
          <w:color w:val="auto"/>
        </w:rPr>
      </w:pPr>
    </w:p>
    <w:p>
      <w:pPr>
        <w:jc w:val="both"/>
        <w:ind w:left="760" w:right="399" w:firstLine="749"/>
        <w:spacing w:after="0" w:line="282" w:lineRule="auto"/>
        <w:rPr>
          <w:sz w:val="20"/>
          <w:szCs w:val="20"/>
          <w:color w:val="auto"/>
        </w:rPr>
      </w:pPr>
      <w:r>
        <w:rPr>
          <w:rFonts w:ascii="Times New Roman" w:cs="Times New Roman" w:eastAsia="Times New Roman" w:hAnsi="Times New Roman"/>
          <w:sz w:val="21"/>
          <w:szCs w:val="21"/>
          <w:color w:val="auto"/>
        </w:rPr>
        <w:t>(2)the aggregate amount of all Material Project EBITDA Adjustments during any Rolling Period shall not exceed 20% of Unadjusted Consolidated EBITDA for such Rolling Period;</w:t>
      </w:r>
    </w:p>
    <w:p>
      <w:pPr>
        <w:spacing w:after="0" w:line="135" w:lineRule="exact"/>
        <w:rPr>
          <w:sz w:val="20"/>
          <w:szCs w:val="20"/>
          <w:color w:val="auto"/>
        </w:rPr>
      </w:pPr>
    </w:p>
    <w:p>
      <w:pPr>
        <w:jc w:val="both"/>
        <w:ind w:left="760" w:right="399" w:firstLine="749"/>
        <w:spacing w:after="0" w:line="258" w:lineRule="auto"/>
        <w:rPr>
          <w:sz w:val="20"/>
          <w:szCs w:val="20"/>
          <w:color w:val="auto"/>
        </w:rPr>
      </w:pPr>
      <w:r>
        <w:rPr>
          <w:rFonts w:ascii="Times New Roman" w:cs="Times New Roman" w:eastAsia="Times New Roman" w:hAnsi="Times New Roman"/>
          <w:sz w:val="22"/>
          <w:szCs w:val="22"/>
          <w:color w:val="auto"/>
        </w:rPr>
        <w:t xml:space="preserve">(3)any deemed increase in EBITDA pursuant to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 xml:space="preserve"> shall be applied after giving effect to the foregoing calculations; and</w:t>
      </w:r>
    </w:p>
    <w:p>
      <w:pPr>
        <w:spacing w:after="0" w:line="158" w:lineRule="exact"/>
        <w:rPr>
          <w:sz w:val="20"/>
          <w:szCs w:val="20"/>
          <w:color w:val="auto"/>
        </w:rPr>
      </w:pPr>
    </w:p>
    <w:p>
      <w:pPr>
        <w:jc w:val="both"/>
        <w:ind w:left="760" w:right="399" w:firstLine="749"/>
        <w:spacing w:after="0" w:line="244" w:lineRule="auto"/>
        <w:rPr>
          <w:sz w:val="20"/>
          <w:szCs w:val="20"/>
          <w:color w:val="auto"/>
        </w:rPr>
      </w:pPr>
      <w:r>
        <w:rPr>
          <w:rFonts w:ascii="Times New Roman" w:cs="Times New Roman" w:eastAsia="Times New Roman" w:hAnsi="Times New Roman"/>
          <w:sz w:val="22"/>
          <w:szCs w:val="22"/>
          <w:color w:val="auto"/>
        </w:rPr>
        <w:t>(4)for purposes of calculating Annualized EBITDA, Material Project EBITDA Adjustments shall be added to Unadjusted Consolidated EBITDA after the annualization thereof (i.e., Material Project EBITDA Adjustments shall not be annualized).</w:t>
      </w:r>
    </w:p>
    <w:p>
      <w:pPr>
        <w:spacing w:after="0" w:line="173"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Coverage Ratio</w:t>
      </w:r>
      <w:r>
        <w:rPr>
          <w:rFonts w:ascii="Times New Roman" w:cs="Times New Roman" w:eastAsia="Times New Roman" w:hAnsi="Times New Roman"/>
          <w:sz w:val="22"/>
          <w:szCs w:val="22"/>
          <w:color w:val="auto"/>
        </w:rPr>
        <w:t xml:space="preserve">” means, at any date, the ratio of (a) Consolidated EBITDA (or in the case of the Rolling Periods ending on June 30, 2026, September 30, 2026 and December 31, 2026, Annualized EBITDA) for the Rolling Period ended on or prior to such date for which financial statements were delivered or required to be delivered pursuant to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as applicable, </w:t>
      </w:r>
      <w:r>
        <w:rPr>
          <w:rFonts w:ascii="Times New Roman" w:cs="Times New Roman" w:eastAsia="Times New Roman" w:hAnsi="Times New Roman"/>
          <w:sz w:val="22"/>
          <w:szCs w:val="22"/>
          <w:i w:val="1"/>
          <w:iCs w:val="1"/>
          <w:color w:val="auto"/>
        </w:rPr>
        <w:t>divided</w:t>
      </w:r>
      <w:r>
        <w:rPr>
          <w:rFonts w:ascii="Times New Roman" w:cs="Times New Roman" w:eastAsia="Times New Roman" w:hAnsi="Times New Roman"/>
          <w:sz w:val="22"/>
          <w:szCs w:val="22"/>
          <w:color w:val="auto"/>
        </w:rPr>
        <w:t xml:space="preserve"> by (b) the Consolidated Interest Expense for such Rolling Period.</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45" w:name="page46"/>
    <w:bookmarkEnd w:id="45"/>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Expense</w:t>
      </w:r>
      <w:r>
        <w:rPr>
          <w:rFonts w:ascii="Times New Roman" w:cs="Times New Roman" w:eastAsia="Times New Roman" w:hAnsi="Times New Roman"/>
          <w:sz w:val="22"/>
          <w:szCs w:val="22"/>
          <w:color w:val="auto"/>
        </w:rPr>
        <w:t>” means, for any period (determined without duplication), the aggregate interest expense, net of any aggregate interest income, of the Borrower and its Consolidated Subsidiaries for such period as determined in accordance with GAAP, including:</w:t>
      </w:r>
    </w:p>
    <w:p>
      <w:pPr>
        <w:ind w:right="399" w:firstLine="2"/>
        <w:spacing w:after="0" w:line="237" w:lineRule="auto"/>
        <w:tabs>
          <w:tab w:leader="none" w:pos="31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amortization of debt discount, (b) capitalized interest, and (c) the portion of any payments or accruals under Capital Leases allocable to interest expense.</w:t>
      </w:r>
    </w:p>
    <w:p>
      <w:pPr>
        <w:spacing w:after="0" w:line="178" w:lineRule="exact"/>
        <w:rPr>
          <w:sz w:val="20"/>
          <w:szCs w:val="20"/>
          <w:color w:val="auto"/>
        </w:rPr>
      </w:pPr>
    </w:p>
    <w:p>
      <w:pPr>
        <w:jc w:val="both"/>
        <w:ind w:right="399" w:firstLine="747"/>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xml:space="preserve">” means, with respect to the Borrower and its Restricted Subsidiaries, for any period, the aggregate of the net income (or loss) of the Borrower and its Restricted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there shall be excluded from such net income (to the extent otherwise included therein) the following: (a) the net income of any Person (other than the Borrower) if such Person is not a Restricted Subsidiary, except (i) the Borrower’s equity in the net income of any such Person shall be included in Consolidated Net Income to the extent of the amount of dividends or distributions actually paid in cash during such period by such other Person to the Borrower or to a Restricted Subsidiary, as the case may be (and in the case of a dividend or other distribution to a Restricted Subsidiary, such Restricted Subsidiary is not precluded from further distributing such amount to the Borrower as described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and (ii) the Borrower’s equity in a net loss of any such Person for such period shall be included in determining such Consolidated Net Income; (b) the net income (but not loss) during such period of any Restricted Subsidiary to the extent that the declaration or payment of dividends or similar distributions or transfers or loans by that Restricted Subsidiary is not at the time permitted by operation of the terms of its Organization Documents or any agreement, instrument or applicable law applicable to such Restricted Subsidiary or is otherwise restricted or prohibited, in each case, determined in accordance with GAAP; (c) the net income (or deficit) of any Person accrued prior to the date it becomes a Restricted Subsidiary or is merged into or consolidated with the Borrower or any of its Restricted Subsidiaries or the date that such Person’s assets are acquired by the Borrower or any Restricted Subsidiary; (d) any extraordinary or unusual gains or losses during such period; (e) the cumulative effect of a change in accounting principles and any gains or losses attributable to writeups or writedowns of assets (including as a result of ASC Topic 410 (formerly FAS 143)),</w:t>
      </w:r>
    </w:p>
    <w:p>
      <w:pPr>
        <w:spacing w:after="0" w:line="14" w:lineRule="exact"/>
        <w:rPr>
          <w:sz w:val="20"/>
          <w:szCs w:val="20"/>
          <w:color w:val="auto"/>
        </w:rPr>
      </w:pPr>
    </w:p>
    <w:p>
      <w:pPr>
        <w:jc w:val="both"/>
        <w:ind w:right="399"/>
        <w:spacing w:after="0" w:line="232" w:lineRule="auto"/>
        <w:rPr>
          <w:sz w:val="20"/>
          <w:szCs w:val="20"/>
          <w:color w:val="auto"/>
        </w:rPr>
      </w:pPr>
      <w:r>
        <w:rPr>
          <w:rFonts w:ascii="Times New Roman" w:cs="Times New Roman" w:eastAsia="Times New Roman" w:hAnsi="Times New Roman"/>
          <w:sz w:val="22"/>
          <w:szCs w:val="22"/>
          <w:color w:val="auto"/>
        </w:rPr>
        <w:t xml:space="preserve">(f)non-cash gains or losses or charges in respect of Hedging Transactions or other interest rate agreements, currency agreements or commodity agreements (including those resulting from the application of ASC Topic 815 (formerly FAS 133), but shall expressly include any cash charges or payments in respect of the termination of any Hedging Transaction) and (g) any writedowns or impairments of non-current assets (including any ceiling limitation writedowns). For the purposes of calculating Consolidated Net Income for any Reference Period in connection with any determination of the financial ratio contained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9.01(a)</w:t>
      </w:r>
      <w:r>
        <w:rPr>
          <w:rFonts w:ascii="Times New Roman" w:cs="Times New Roman" w:eastAsia="Times New Roman" w:hAnsi="Times New Roman"/>
          <w:sz w:val="22"/>
          <w:szCs w:val="22"/>
          <w:color w:val="auto"/>
        </w:rPr>
        <w:t>, if at any time during such Reference Period the Borrower or any Restricted Subsidiary shall have made any Material Disposition or Material Acquisition or designated a Subsidiary as Unrestricted Subsidiary or a Restricted Subsidiary, Consolidated Net Income for such Rolling Period shall be calculated on a Pro Forma Basis.</w:t>
      </w:r>
    </w:p>
    <w:p>
      <w:pPr>
        <w:spacing w:after="0" w:line="177"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Indebtedness</w:t>
      </w:r>
      <w:r>
        <w:rPr>
          <w:rFonts w:ascii="Times New Roman" w:cs="Times New Roman" w:eastAsia="Times New Roman" w:hAnsi="Times New Roman"/>
          <w:sz w:val="22"/>
          <w:szCs w:val="22"/>
          <w:color w:val="auto"/>
        </w:rPr>
        <w:t xml:space="preserve">” means, at any time, (a) Consolidated Total Indebtedness at such time,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amount of Unrestricted Cash of the Loan Parties at such time maintained in a Deposit Account that is subject to an Account Control Agreement in favor of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amount subtracted pursuant to the foregoing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at any time of determination shall not exceed $10,000,000.</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46" w:name="page47"/>
    <w:bookmarkEnd w:id="46"/>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Leverage Ratio</w:t>
      </w:r>
      <w:r>
        <w:rPr>
          <w:rFonts w:ascii="Times New Roman" w:cs="Times New Roman" w:eastAsia="Times New Roman" w:hAnsi="Times New Roman"/>
          <w:sz w:val="22"/>
          <w:szCs w:val="22"/>
          <w:color w:val="auto"/>
        </w:rPr>
        <w:t>” means, at any date and time, the ratio of</w:t>
      </w:r>
    </w:p>
    <w:p>
      <w:pPr>
        <w:spacing w:after="0" w:line="14" w:lineRule="exact"/>
        <w:rPr>
          <w:sz w:val="20"/>
          <w:szCs w:val="20"/>
          <w:color w:val="auto"/>
        </w:rPr>
      </w:pPr>
    </w:p>
    <w:p>
      <w:pPr>
        <w:jc w:val="both"/>
        <w:ind w:right="399"/>
        <w:spacing w:after="0" w:line="244" w:lineRule="auto"/>
        <w:rPr>
          <w:sz w:val="20"/>
          <w:szCs w:val="20"/>
          <w:color w:val="auto"/>
        </w:rPr>
      </w:pPr>
      <w:r>
        <w:rPr>
          <w:rFonts w:ascii="Times New Roman" w:cs="Times New Roman" w:eastAsia="Times New Roman" w:hAnsi="Times New Roman"/>
          <w:sz w:val="21"/>
          <w:szCs w:val="21"/>
          <w:color w:val="auto"/>
        </w:rPr>
        <w:t xml:space="preserve">(a)Consolidated Net Indebtedness at such time, </w:t>
      </w:r>
      <w:r>
        <w:rPr>
          <w:rFonts w:ascii="Times New Roman" w:cs="Times New Roman" w:eastAsia="Times New Roman" w:hAnsi="Times New Roman"/>
          <w:sz w:val="21"/>
          <w:szCs w:val="21"/>
          <w:i w:val="1"/>
          <w:iCs w:val="1"/>
          <w:color w:val="auto"/>
        </w:rPr>
        <w:t>divided</w:t>
      </w:r>
      <w:r>
        <w:rPr>
          <w:rFonts w:ascii="Times New Roman" w:cs="Times New Roman" w:eastAsia="Times New Roman" w:hAnsi="Times New Roman"/>
          <w:sz w:val="21"/>
          <w:szCs w:val="21"/>
          <w:color w:val="auto"/>
        </w:rPr>
        <w:t xml:space="preserve"> by (b) Consolidated EBITDA (or in the case of the Rolling Periods ending on March 31, 2026, June 30, 2026 and September 30, 2026, Annualized EBITDA) for the Rolling Period most recently ended on or prior to such date for which financial statements were delivered or required to be delivered pursuant to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as applicable;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reference to the Consolidated Net Leverage Ratio for purposes of any determination thereof during the Initial Period shall be deemed to refer to the Initial Period Consolidated Net Leverage Ratio.</w:t>
      </w:r>
    </w:p>
    <w:p>
      <w:pPr>
        <w:spacing w:after="0" w:line="109"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Subsidiaries</w:t>
      </w:r>
      <w:r>
        <w:rPr>
          <w:rFonts w:ascii="Times New Roman" w:cs="Times New Roman" w:eastAsia="Times New Roman" w:hAnsi="Times New Roman"/>
          <w:sz w:val="22"/>
          <w:szCs w:val="22"/>
          <w:color w:val="auto"/>
        </w:rPr>
        <w:t>” means, individually or collectively as the context requires, each Subsidiary of the Borrower (whether now existing or hereafter created or acquired), the financial statements of which are (or should have been) consolidated with the financial statements of the Borrower in accordance with GAAP, but excluding any Unrestricted Subsidiary.</w:t>
      </w:r>
    </w:p>
    <w:p>
      <w:pPr>
        <w:spacing w:after="0" w:line="113"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Indebtedness</w:t>
      </w:r>
      <w:r>
        <w:rPr>
          <w:rFonts w:ascii="Times New Roman" w:cs="Times New Roman" w:eastAsia="Times New Roman" w:hAnsi="Times New Roman"/>
          <w:sz w:val="22"/>
          <w:szCs w:val="22"/>
          <w:color w:val="auto"/>
        </w:rPr>
        <w:t xml:space="preserve">” means, at any date, without duplication (after consolidation of any intercompany obligations solely among the Borrower and its Consolidated Subsidiaries and after giving pro forma effect to any Borrowings made on such date), all Indebtedness of the Borrower and its Consolidated Subsidiaries determined on a consolidated basis, excluding Indebtedness of the type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(other than drawn and unreimbursed amounts with respect thereto),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of the definition of “Indebtedness”.</w:t>
      </w:r>
    </w:p>
    <w:p>
      <w:pPr>
        <w:spacing w:after="0" w:line="100"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12.20</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Deeds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7.16(d)</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both"/>
        <w:ind w:right="399"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that constitutes an Event of Default or that upon notice, lapse of time or both would, unless cured or waived, become an Event of Default. “</w:t>
      </w:r>
      <w:r>
        <w:rPr>
          <w:rFonts w:ascii="Times New Roman" w:cs="Times New Roman" w:eastAsia="Times New Roman" w:hAnsi="Times New Roman"/>
          <w:sz w:val="22"/>
          <w:szCs w:val="22"/>
          <w:u w:val="single" w:color="auto"/>
          <w:color w:val="auto"/>
        </w:rPr>
        <w:t>Default Delivery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9.01(b)(i)</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Default Test Period</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9.01(b)(i)</w:t>
      </w:r>
      <w:r>
        <w:rPr>
          <w:rFonts w:ascii="Times New Roman" w:cs="Times New Roman" w:eastAsia="Times New Roman" w:hAnsi="Times New Roman"/>
          <w:sz w:val="22"/>
          <w:szCs w:val="22"/>
          <w:color w:val="auto"/>
        </w:rPr>
        <w:t>.</w:t>
      </w:r>
    </w:p>
    <w:p>
      <w:pPr>
        <w:spacing w:after="0" w:line="113"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 4.04(b)</w:t>
      </w:r>
      <w:r>
        <w:rPr>
          <w:rFonts w:ascii="Times New Roman" w:cs="Times New Roman" w:eastAsia="Times New Roman" w:hAnsi="Times New Roman"/>
          <w:sz w:val="22"/>
          <w:szCs w:val="22"/>
          <w:color w:val="auto"/>
        </w:rPr>
        <w:t>, any Lender, as determined by the Administrative Agent, that (a) has failed, within two (2) Business Days of the date required to be funded or paid, to (i) fund any portion of its Loans or fund any portion of its participations in Letters of Credit, or (ii) pay over to the Administrative Agent, the Issuing Bank or any other Lender any other amount required to be paid by it hereunder, (b) has notified the Borrower, the Administrative Agent, the Issuing Bank or any Lender in writing that it does not intend to comply</w:t>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with its funding obligations under this Agreement, or has made a public statement to that effect,</w:t>
      </w:r>
    </w:p>
    <w:p>
      <w:pPr>
        <w:spacing w:after="0" w:line="14" w:lineRule="exact"/>
        <w:rPr>
          <w:sz w:val="20"/>
          <w:szCs w:val="20"/>
          <w:color w:val="auto"/>
        </w:rPr>
      </w:pPr>
    </w:p>
    <w:p>
      <w:pPr>
        <w:jc w:val="both"/>
        <w:ind w:right="399" w:firstLine="2"/>
        <w:spacing w:after="0" w:line="241" w:lineRule="auto"/>
        <w:tabs>
          <w:tab w:leader="none" w:pos="30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failed, within three (3) Business Days after request by the Administrative Agent or the Borrower, to confirm in writing to the Administrative Agent or the Borrower, as the case may be, that it will comply with its prospective funding obligations under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Lender shall cease to be a Defaulting Lender pursuant to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upon receipt of such written confirmation by the Administrative Agent or the Borrower, as the case may be),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Property, including the Federal Deposit Insurance Corporation or any other state or federal regulatory authority acting in such a capacity or</w:t>
      </w:r>
    </w:p>
    <w:p>
      <w:pPr>
        <w:spacing w:after="0" w:line="4" w:lineRule="exact"/>
        <w:rPr>
          <w:rFonts w:ascii="Times New Roman" w:cs="Times New Roman" w:eastAsia="Times New Roman" w:hAnsi="Times New Roman"/>
          <w:sz w:val="21"/>
          <w:szCs w:val="21"/>
          <w:color w:val="auto"/>
        </w:rPr>
      </w:pPr>
    </w:p>
    <w:p>
      <w:pPr>
        <w:jc w:val="both"/>
        <w:ind w:right="399" w:firstLine="2"/>
        <w:spacing w:after="0" w:line="232" w:lineRule="auto"/>
        <w:tabs>
          <w:tab w:leader="none" w:pos="38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become the subject of a Bail-In 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Property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22"/>
          <w:szCs w:val="22"/>
          <w:u w:val="single" w:color="auto"/>
          <w:color w:val="auto"/>
        </w:rPr>
        <w:t>Section 4.04(b)</w:t>
      </w:r>
      <w:r>
        <w:rPr>
          <w:rFonts w:ascii="Times New Roman" w:cs="Times New Roman" w:eastAsia="Times New Roman" w:hAnsi="Times New Roman"/>
          <w:sz w:val="22"/>
          <w:szCs w:val="22"/>
          <w:color w:val="auto"/>
        </w:rPr>
        <w:t>) upon delivery of written notice of such determination to the Borrower, the Issuing Bank, and each Lender.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Account</w:t>
      </w:r>
      <w:r>
        <w:rPr>
          <w:rFonts w:ascii="Times New Roman" w:cs="Times New Roman" w:eastAsia="Times New Roman" w:hAnsi="Times New Roman"/>
          <w:sz w:val="22"/>
          <w:szCs w:val="22"/>
          <w:color w:val="auto"/>
        </w:rPr>
        <w:t>” shall have the meaning set forth in Article 9 of the UCC.</w:t>
      </w:r>
    </w:p>
    <w:p>
      <w:pPr>
        <w:spacing w:after="0" w:line="206"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with respect to any property, means any sale, lease, sale and leaseback, assignment, conveyance, transfer or other disposition thereof. The terms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Disposed of</w:t>
      </w:r>
      <w:r>
        <w:rPr>
          <w:rFonts w:ascii="Times New Roman" w:cs="Times New Roman" w:eastAsia="Times New Roman" w:hAnsi="Times New Roman"/>
          <w:sz w:val="22"/>
          <w:szCs w:val="22"/>
          <w:color w:val="auto"/>
        </w:rPr>
        <w:t>” have meanings correlative thereto.</w:t>
      </w:r>
    </w:p>
    <w:p>
      <w:pPr>
        <w:spacing w:after="0" w:line="173" w:lineRule="exact"/>
        <w:rPr>
          <w:sz w:val="20"/>
          <w:szCs w:val="20"/>
          <w:color w:val="auto"/>
        </w:rPr>
      </w:pPr>
    </w:p>
    <w:p>
      <w:pPr>
        <w:jc w:val="both"/>
        <w:ind w:right="399" w:firstLine="74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Equity Interests</w:t>
      </w:r>
      <w:r>
        <w:rPr>
          <w:rFonts w:ascii="Times New Roman" w:cs="Times New Roman" w:eastAsia="Times New Roman" w:hAnsi="Times New Roman"/>
          <w:sz w:val="22"/>
          <w:szCs w:val="22"/>
          <w:color w:val="auto"/>
        </w:rPr>
        <w:t>” means any Equity Interest that, by its terms (or by the terms of any security or other Equity Interest into which it is convertible or for which it is exchangeable), or upon the happening of any event or condition (i) matures or is mandatorily redeemable (other than solely for Equity Interests that are not otherwise Disqualified Equity Interests), pursuant to a sinking fund obligation or otherwise, (ii) is redeemable at the option of the holder thereof (other than solely for Equity Interests that are not otherwise Disqualified Equity Interests), in whole or in part, (iii) provides for scheduled payments or dividends in cash or other Property, or (iv) is or becomes convertible into or exchangeable for Indebtedness or any other Equity Interests that would constitute Disqualified Equity Interests, in each case, prior to the date that is 180 days after the Maturity Date. The amount of Disqualified Equity Interests deemed to be outstanding at any time for purposes of this Agreement will be the maximum amount that the Borrower and its Restricted Subsidiaries may become obligated to pay upon the maturity of, or pursuant to any mandatory redemption provisions of, such Disqualified Equity Interests, exclusive of accrued dividends.</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Division</w:t>
      </w:r>
      <w:r>
        <w:rPr>
          <w:rFonts w:ascii="Times New Roman" w:cs="Times New Roman" w:eastAsia="Times New Roman" w:hAnsi="Times New Roman"/>
          <w:sz w:val="21"/>
          <w:szCs w:val="21"/>
          <w:color w:val="auto"/>
        </w:rPr>
        <w:t>” means, with respect to the Borrower and its Subsidiaries, that any such Person</w:t>
      </w:r>
    </w:p>
    <w:p>
      <w:pPr>
        <w:spacing w:after="0" w:line="26" w:lineRule="exact"/>
        <w:rPr>
          <w:sz w:val="20"/>
          <w:szCs w:val="20"/>
          <w:color w:val="auto"/>
        </w:rPr>
      </w:pPr>
    </w:p>
    <w:p>
      <w:pPr>
        <w:ind w:left="1200" w:hanging="287"/>
        <w:spacing w:after="0"/>
        <w:tabs>
          <w:tab w:leader="none" w:pos="120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divides into two or more Persons (whether or not the original Loan Party or Subsidiary thereof</w:t>
      </w:r>
    </w:p>
    <w:p>
      <w:pPr>
        <w:spacing w:after="0" w:line="4" w:lineRule="exact"/>
        <w:rPr>
          <w:rFonts w:ascii="Times New Roman" w:cs="Times New Roman" w:eastAsia="Times New Roman" w:hAnsi="Times New Roman"/>
          <w:sz w:val="21"/>
          <w:szCs w:val="21"/>
          <w:color w:val="auto"/>
        </w:rPr>
      </w:pPr>
    </w:p>
    <w:p>
      <w:pPr>
        <w:ind w:left="51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48" w:name="page49"/>
    <w:bookmarkEnd w:id="48"/>
    <w:p>
      <w:pPr>
        <w:ind w:right="539"/>
        <w:spacing w:after="0" w:line="258" w:lineRule="auto"/>
        <w:rPr>
          <w:sz w:val="20"/>
          <w:szCs w:val="20"/>
          <w:color w:val="auto"/>
        </w:rPr>
      </w:pPr>
      <w:r>
        <w:rPr>
          <w:rFonts w:ascii="Times New Roman" w:cs="Times New Roman" w:eastAsia="Times New Roman" w:hAnsi="Times New Roman"/>
          <w:sz w:val="22"/>
          <w:szCs w:val="22"/>
          <w:color w:val="auto"/>
        </w:rPr>
        <w:t>survives such division) or (b) creates, or reorganizes into, one or more series, in each case as contemplated under the laws of any applicable jurisdiction.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refers to lawful money of the United States.</w:t>
      </w:r>
    </w:p>
    <w:p>
      <w:pPr>
        <w:spacing w:after="0" w:line="206" w:lineRule="exact"/>
        <w:rPr>
          <w:sz w:val="20"/>
          <w:szCs w:val="20"/>
          <w:color w:val="auto"/>
        </w:rPr>
      </w:pPr>
    </w:p>
    <w:p>
      <w:pPr>
        <w:ind w:right="107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organized under the laws of the United States or any state thereof or the District of Columbia.</w:t>
      </w:r>
    </w:p>
    <w:p>
      <w:pPr>
        <w:spacing w:after="0" w:line="158" w:lineRule="exact"/>
        <w:rPr>
          <w:sz w:val="20"/>
          <w:szCs w:val="20"/>
          <w:color w:val="auto"/>
        </w:rPr>
      </w:pPr>
    </w:p>
    <w:p>
      <w:pPr>
        <w:ind w:right="399" w:firstLine="74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(b)any entity established in an EEA Member Country which is a parent of an institution described in </w:t>
      </w:r>
      <w:r>
        <w:rPr>
          <w:rFonts w:ascii="Times New Roman" w:cs="Times New Roman" w:eastAsia="Times New Roman" w:hAnsi="Times New Roman"/>
          <w:sz w:val="21"/>
          <w:szCs w:val="21"/>
          <w:u w:val="single" w:color="auto"/>
          <w:color w:val="auto"/>
        </w:rPr>
        <w:t>clause</w:t>
      </w:r>
    </w:p>
    <w:p>
      <w:pPr>
        <w:spacing w:after="0" w:line="2" w:lineRule="exact"/>
        <w:rPr>
          <w:sz w:val="20"/>
          <w:szCs w:val="20"/>
          <w:color w:val="auto"/>
        </w:rPr>
      </w:pPr>
    </w:p>
    <w:p>
      <w:pPr>
        <w:jc w:val="both"/>
        <w:ind w:right="399" w:firstLine="2"/>
        <w:spacing w:after="0" w:line="235" w:lineRule="auto"/>
        <w:tabs>
          <w:tab w:leader="none" w:pos="322" w:val="left"/>
        </w:tabs>
        <w:numPr>
          <w:ilvl w:val="0"/>
          <w:numId w:val="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of this definition, or (c) any financial institution established in an EEA Member Country which is a subsidiary of an institution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definition and is subject to consolidated supervision with its parent.</w:t>
      </w:r>
    </w:p>
    <w:p>
      <w:pPr>
        <w:spacing w:after="0" w:line="178" w:lineRule="exact"/>
        <w:rPr>
          <w:sz w:val="20"/>
          <w:szCs w:val="20"/>
          <w:color w:val="auto"/>
        </w:rPr>
      </w:pPr>
    </w:p>
    <w:p>
      <w:pPr>
        <w:ind w:right="119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158"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means the date on which the conditions specified 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are satisfied (or waived in accordance with </w:t>
      </w:r>
      <w:r>
        <w:rPr>
          <w:rFonts w:ascii="Times New Roman" w:cs="Times New Roman" w:eastAsia="Times New Roman" w:hAnsi="Times New Roman"/>
          <w:sz w:val="22"/>
          <w:szCs w:val="22"/>
          <w:u w:val="single" w:color="auto"/>
          <w:color w:val="auto"/>
        </w:rPr>
        <w:t>Section 12.02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Record</w:t>
      </w:r>
      <w:r>
        <w:rPr>
          <w:rFonts w:ascii="Times New Roman" w:cs="Times New Roman" w:eastAsia="Times New Roman" w:hAnsi="Times New Roman"/>
          <w:sz w:val="22"/>
          <w:szCs w:val="22"/>
          <w:color w:val="auto"/>
        </w:rPr>
        <w:t>” has the meaning assigned to that term in, and shall be interpreted in accordance with, 15 U.S.C. 7006.</w:t>
      </w:r>
    </w:p>
    <w:p>
      <w:pPr>
        <w:spacing w:after="0" w:line="185"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has the meaning assigned to that term in, and shall be interpreted in accordance with, 15 U.S.C. 7006.</w:t>
      </w:r>
    </w:p>
    <w:p>
      <w:pPr>
        <w:spacing w:after="0" w:line="158"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Energy Policy Act</w:t>
      </w:r>
      <w:r>
        <w:rPr>
          <w:rFonts w:ascii="Times New Roman" w:cs="Times New Roman" w:eastAsia="Times New Roman" w:hAnsi="Times New Roman"/>
          <w:sz w:val="22"/>
          <w:szCs w:val="22"/>
          <w:color w:val="auto"/>
        </w:rPr>
        <w:t>” means the Energy Policy Act of 1992, Pub. L. No. 102-486, 106 Stat. 2776 (codified as amended in scattered sections of 15, 16, 25, 20, 42 U.S.C.), and any successor thereto.</w:t>
      </w:r>
    </w:p>
    <w:p>
      <w:pPr>
        <w:spacing w:after="0" w:line="158" w:lineRule="exact"/>
        <w:rPr>
          <w:sz w:val="20"/>
          <w:szCs w:val="20"/>
          <w:color w:val="auto"/>
        </w:rPr>
      </w:pPr>
    </w:p>
    <w:p>
      <w:pPr>
        <w:jc w:val="both"/>
        <w:ind w:right="399" w:firstLine="747"/>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any and all Governmental Requirements pertaining in any way to pollution or protection of the environment, the preservation or reclamation of natural resources, or the management, Release or threatened Release of any Hazardous Materials, in effect in any and all jurisdictions in which the Borrower or any Subsidiary is conducting, or at any time has conducted, business, or where any Property of the Borrower or any Subsidiary is located, including, the Oil Pollution Act of 1990 (“</w:t>
      </w:r>
      <w:r>
        <w:rPr>
          <w:rFonts w:ascii="Times New Roman" w:cs="Times New Roman" w:eastAsia="Times New Roman" w:hAnsi="Times New Roman"/>
          <w:sz w:val="22"/>
          <w:szCs w:val="22"/>
          <w:u w:val="single" w:color="auto"/>
          <w:color w:val="auto"/>
        </w:rPr>
        <w:t>OPA</w:t>
      </w:r>
      <w:r>
        <w:rPr>
          <w:rFonts w:ascii="Times New Roman" w:cs="Times New Roman" w:eastAsia="Times New Roman" w:hAnsi="Times New Roman"/>
          <w:sz w:val="22"/>
          <w:szCs w:val="22"/>
          <w:color w:val="auto"/>
        </w:rPr>
        <w:t>”), as amended, the Clean Air Act, as amended, the Comprehensive Environmental, Response, Compensation, and Liability Act of 1980 (“</w:t>
      </w:r>
      <w:r>
        <w:rPr>
          <w:rFonts w:ascii="Times New Roman" w:cs="Times New Roman" w:eastAsia="Times New Roman" w:hAnsi="Times New Roman"/>
          <w:sz w:val="22"/>
          <w:szCs w:val="22"/>
          <w:u w:val="single" w:color="auto"/>
          <w:color w:val="auto"/>
        </w:rPr>
        <w:t>CERCLA</w:t>
      </w:r>
      <w:r>
        <w:rPr>
          <w:rFonts w:ascii="Times New Roman" w:cs="Times New Roman" w:eastAsia="Times New Roman" w:hAnsi="Times New Roman"/>
          <w:sz w:val="22"/>
          <w:szCs w:val="22"/>
          <w:color w:val="auto"/>
        </w:rPr>
        <w:t>”), as amended, the Federal Water Pollution Control Act, as amended, the Occupational Safety and Health Act of 1970, as amended (to the extent relating to exposure to Hazardous Materials), the Resource Conservation and Recovery Act of 1976 (“</w:t>
      </w:r>
      <w:r>
        <w:rPr>
          <w:rFonts w:ascii="Times New Roman" w:cs="Times New Roman" w:eastAsia="Times New Roman" w:hAnsi="Times New Roman"/>
          <w:sz w:val="22"/>
          <w:szCs w:val="22"/>
          <w:u w:val="single" w:color="auto"/>
          <w:color w:val="auto"/>
        </w:rPr>
        <w:t>RCRA</w:t>
      </w:r>
      <w:r>
        <w:rPr>
          <w:rFonts w:ascii="Times New Roman" w:cs="Times New Roman" w:eastAsia="Times New Roman" w:hAnsi="Times New Roman"/>
          <w:sz w:val="22"/>
          <w:szCs w:val="22"/>
          <w:color w:val="auto"/>
        </w:rPr>
        <w:t>”), as amended, the Safe Drinking Water Act, as amended, the Toxic Substances Control Act, as amended, the Superfund Amendments and Reauthorization Act of 1986, as amended, the</w:t>
      </w:r>
    </w:p>
    <w:p>
      <w:pPr>
        <w:spacing w:after="0" w:line="1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49" w:name="page50"/>
    <w:bookmarkEnd w:id="49"/>
    <w:p>
      <w:pPr>
        <w:ind w:right="1019"/>
        <w:spacing w:after="0" w:line="258" w:lineRule="auto"/>
        <w:rPr>
          <w:sz w:val="20"/>
          <w:szCs w:val="20"/>
          <w:color w:val="auto"/>
        </w:rPr>
      </w:pPr>
      <w:r>
        <w:rPr>
          <w:rFonts w:ascii="Times New Roman" w:cs="Times New Roman" w:eastAsia="Times New Roman" w:hAnsi="Times New Roman"/>
          <w:sz w:val="22"/>
          <w:szCs w:val="22"/>
          <w:color w:val="auto"/>
        </w:rPr>
        <w:t>Hazardous Materials Transportation Law, as amended, and other similar or equivalent Governmental Requirements enacted by any Governmental Authority.</w:t>
      </w:r>
    </w:p>
    <w:p>
      <w:pPr>
        <w:spacing w:after="0" w:line="91" w:lineRule="exact"/>
        <w:rPr>
          <w:sz w:val="20"/>
          <w:szCs w:val="20"/>
          <w:color w:val="auto"/>
        </w:rPr>
      </w:pPr>
    </w:p>
    <w:p>
      <w:pPr>
        <w:jc w:val="both"/>
        <w:ind w:right="399"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w:t>
      </w:r>
      <w:r>
        <w:rPr>
          <w:rFonts w:ascii="Times New Roman" w:cs="Times New Roman" w:eastAsia="Times New Roman" w:hAnsi="Times New Roman"/>
          <w:sz w:val="22"/>
          <w:szCs w:val="22"/>
          <w:color w:val="auto"/>
        </w:rPr>
        <w:t>” means any permit, registration, license, notice, approval (including approval of any spill or response plan), consent, exemption, variance or other authorization required pursuant to applicable Environmental Laws.</w:t>
      </w:r>
    </w:p>
    <w:p>
      <w:pPr>
        <w:spacing w:after="0" w:line="106" w:lineRule="exact"/>
        <w:rPr>
          <w:sz w:val="20"/>
          <w:szCs w:val="20"/>
          <w:color w:val="auto"/>
        </w:rPr>
      </w:pPr>
    </w:p>
    <w:p>
      <w:pPr>
        <w:jc w:val="both"/>
        <w:ind w:right="399"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Cure Amount</w:t>
      </w:r>
      <w:r>
        <w:rPr>
          <w:rFonts w:ascii="Times New Roman" w:cs="Times New Roman" w:eastAsia="Times New Roman" w:hAnsi="Times New Roman"/>
          <w:sz w:val="22"/>
          <w:szCs w:val="22"/>
          <w:color w:val="auto"/>
        </w:rPr>
        <w:t xml:space="preserve">” means, with respect to any Default Test Period, the minimum amount that Consolidated EBITDA for the applicable Default Test Period must be increased by in order for the Borrower to be in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compliance with </w:t>
      </w:r>
      <w:r>
        <w:rPr>
          <w:rFonts w:ascii="Times New Roman" w:cs="Times New Roman" w:eastAsia="Times New Roman" w:hAnsi="Times New Roman"/>
          <w:sz w:val="22"/>
          <w:szCs w:val="22"/>
          <w:u w:val="single" w:color="auto"/>
          <w:color w:val="auto"/>
        </w:rPr>
        <w:t>Section 9.01(a)(i)</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Section 9.01(a)(ii)</w:t>
      </w:r>
      <w:r>
        <w:rPr>
          <w:rFonts w:ascii="Times New Roman" w:cs="Times New Roman" w:eastAsia="Times New Roman" w:hAnsi="Times New Roman"/>
          <w:sz w:val="22"/>
          <w:szCs w:val="22"/>
          <w:color w:val="auto"/>
        </w:rPr>
        <w:t>, as applicable, as of the last day of such Default Test Period.</w:t>
      </w:r>
    </w:p>
    <w:p>
      <w:pPr>
        <w:spacing w:after="0" w:line="99" w:lineRule="exact"/>
        <w:rPr>
          <w:sz w:val="20"/>
          <w:szCs w:val="20"/>
          <w:color w:val="auto"/>
        </w:rPr>
      </w:pPr>
    </w:p>
    <w:p>
      <w:pPr>
        <w:jc w:val="both"/>
        <w:ind w:right="399"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Cure Contribution</w:t>
      </w:r>
      <w:r>
        <w:rPr>
          <w:rFonts w:ascii="Times New Roman" w:cs="Times New Roman" w:eastAsia="Times New Roman" w:hAnsi="Times New Roman"/>
          <w:sz w:val="22"/>
          <w:szCs w:val="22"/>
          <w:color w:val="auto"/>
        </w:rPr>
        <w:t xml:space="preserve">” means any direct or indirect Investment in the Borrower pursuant to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 xml:space="preserve"> (and designated in writing at or about the time made as being an Equity Cure Contribution) in cash in the form of a capital contribution to the Borrower’s common equity or the purchase of common Equity Interests issued by the Borrower (or other Equity Interests issued by the Borrower and reasonably acceptable to the Administrative Agent, but not Disqualified Equity Interests).</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Cure Contribution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Cure Notice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9.01(b)(i)</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Cure Right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both"/>
        <w:ind w:right="399"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 individually or collectively as the context requires, any and all shares of capital stock, partnership interests, membership interests in a limited liability company, beneficial interests in a trust or other equity ownership interests (including any equity participation) in a Person, and any warrants, options or other rights entitling the holder thereof to purchase or acquire any such Equity Interest.</w:t>
      </w:r>
    </w:p>
    <w:p>
      <w:pPr>
        <w:spacing w:after="0" w:line="177" w:lineRule="exact"/>
        <w:rPr>
          <w:sz w:val="20"/>
          <w:szCs w:val="20"/>
          <w:color w:val="auto"/>
        </w:rPr>
      </w:pPr>
    </w:p>
    <w:p>
      <w:pPr>
        <w:ind w:right="121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and any successor statute.</w:t>
      </w:r>
    </w:p>
    <w:p>
      <w:pPr>
        <w:spacing w:after="0" w:line="158"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each trade or business (whether or not incorporated) that together with the Borrower or any other Loan Party would be deemed to be a “single employer” within the meaning of section 4001(b)(1) of ERISA or subsections (b) or (c) of section 414 of the Code (and subsection (m) or (o) of section 414 of the Code for purposes of provisions relating to section 412 of the Code and section 302 of ERISA).</w:t>
      </w:r>
    </w:p>
    <w:p>
      <w:pPr>
        <w:spacing w:after="0" w:line="177" w:lineRule="exact"/>
        <w:rPr>
          <w:sz w:val="20"/>
          <w:szCs w:val="20"/>
          <w:color w:val="auto"/>
        </w:rPr>
      </w:pPr>
    </w:p>
    <w:p>
      <w:pPr>
        <w:jc w:val="both"/>
        <w:ind w:right="399" w:firstLine="74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the occurrence with respect to a Plan of a “Reportable Event” described in section 4043 of ERISA and the regulations issued thereunder (other than an event for which the 30-day notice period is waived, under applicable regulations or otherwise), (b) the withdrawal of the Borrower, a Loan Party or any ERISA Affiliate from a Plan during a plan year in which it was a “substantial employer” as defined in section 4001(a)(2) of ERISA, (c) the filing of a notice of intent to terminate a Plan or the treatment of a Plan amendment as a termination under section 4041 of ERISA, (d) the institution of proceedings to terminate a Plan by the PBGC, (e) receipt by a Loan Party or any ERISA Affiliate of a notice of withdrawal liability pursuant to</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50" w:name="page51"/>
    <w:bookmarkEnd w:id="50"/>
    <w:p>
      <w:pPr>
        <w:jc w:val="both"/>
        <w:ind w:right="399"/>
        <w:spacing w:after="0" w:line="244" w:lineRule="auto"/>
        <w:rPr>
          <w:sz w:val="20"/>
          <w:szCs w:val="20"/>
          <w:color w:val="auto"/>
        </w:rPr>
      </w:pPr>
      <w:r>
        <w:rPr>
          <w:rFonts w:ascii="Times New Roman" w:cs="Times New Roman" w:eastAsia="Times New Roman" w:hAnsi="Times New Roman"/>
          <w:sz w:val="22"/>
          <w:szCs w:val="22"/>
          <w:color w:val="auto"/>
        </w:rPr>
        <w:t>section 4202 of ERISA with respect to a Plan, or (f) any other event or condition that would reasonably be expected to constitute grounds under section 4042 of ERISA for the termination of, or the appointment of a trustee to administer, any Plan.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has the meaning assigned thereto in </w:t>
      </w:r>
      <w:r>
        <w:rPr>
          <w:rFonts w:ascii="Times New Roman" w:cs="Times New Roman" w:eastAsia="Times New Roman" w:hAnsi="Times New Roman"/>
          <w:sz w:val="22"/>
          <w:szCs w:val="22"/>
          <w:u w:val="single" w:color="auto"/>
          <w:color w:val="auto"/>
        </w:rPr>
        <w:t>Section 11.10(a)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747"/>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Excepted Liens</w:t>
      </w:r>
      <w:r>
        <w:rPr>
          <w:rFonts w:ascii="Times New Roman" w:cs="Times New Roman" w:eastAsia="Times New Roman" w:hAnsi="Times New Roman"/>
          <w:sz w:val="22"/>
          <w:szCs w:val="22"/>
          <w:color w:val="auto"/>
        </w:rPr>
        <w:t xml:space="preserve">” means: (a) Liens for Taxes, assessments or other governmental charges or levies that are not delinquent or that are being contested in good faith by appropriate action and for which adequate reserves have been maintained in accordance with GAAP; (b) Liens in connection with workers’ compensation, unemployment insurance or other social security, old age pension or public liability obligations that are not delinquent or that are being contested in good faith by appropriate action and for which adequate reserves have been maintained in accordance with GAAP; (c) landlords’, operators’, vendors’, carriers’, warehousemen’s, bailees’, repairmen’s, mechanics’, suppliers’, workers’, materialmens’, construction or other like Liens that either arise by operation of law in the ordinary course of business or are incident to the development, construction, operation and maintenance of Properties, each of which does not secure Indebtedness for borrowed money and is in respect of obligations that are not delinquent or that are being contested in good faith by appropriate action and for which adequate reserves have been maintained in accordance with GAAP; (d) Liens arising solely by virtue of customary deposit account agreements with the creditor depositary institution or any statutory or common law provision relating to banker’s liens, rights of set-off or similar rights and remedies and burdening only deposit accounts or other funds maintained with a creditor depository institution,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deposit account is a dedicated cash collateral account or is subject to restrictions against access by the depositor in excess of those set forth by regulations promulgated by the Board and no such deposit account is intended by the Borrower or any Subsidiary to provide collateral to the depository institution (other than for the payment of administrative fees and expenses incurred in the ordinary course of business in connection with the maintenance of such deposit account) or any other Person (other than the Secured Parties pursuant to the Security Instruments or otherwise to secure the Secured Obligations); (e) customary and immaterial title defects and irregularities, zoning and land use requirements or restrictions, zoning laws, ordinances or municipal zoning regulations, rights and interests of owners or lessees of a mineral estate to use of the related surface estate, and other easements, rights-of-way, restrictions, servitudes, permits, conditions, covenants, encroachments, exceptions, protrusions or reservations in Property of the Borrower or any Subsidiary that, in each case, do not secure Indebtedness for borrowed money and that in the aggregate do not materially impair the use of such Property for the purposes of which such Property is held by the Borrower or such Subsidiary or materially impair the value of such Property subject thereto; (f) Liens on cash or securities pledged to secure (i) performance of tenders, surety bonds, appeal bonds, custom bonds, government contracts, performance and return of money bonds, bids, trade contracts, leases, statutory obligations, regulatory obligations, obligations in respect of workers’ compensation, unemployment insurance or other forms of government benefits or insurance and other obligations of a like nature, in each case, incurred in the ordinary course of business and (ii) reimbursement or indemnification obligations of insurance carriers providing</w:t>
      </w:r>
    </w:p>
    <w:p>
      <w:pPr>
        <w:spacing w:after="0" w:line="1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51" w:name="page52"/>
    <w:bookmarkEnd w:id="51"/>
    <w:p>
      <w:pPr>
        <w:jc w:val="both"/>
        <w:ind w:right="399"/>
        <w:spacing w:after="0" w:line="242" w:lineRule="auto"/>
        <w:rPr>
          <w:sz w:val="20"/>
          <w:szCs w:val="20"/>
          <w:color w:val="auto"/>
        </w:rPr>
      </w:pPr>
      <w:r>
        <w:rPr>
          <w:rFonts w:ascii="Times New Roman" w:cs="Times New Roman" w:eastAsia="Times New Roman" w:hAnsi="Times New Roman"/>
          <w:sz w:val="21"/>
          <w:szCs w:val="21"/>
          <w:color w:val="auto"/>
        </w:rPr>
        <w:t xml:space="preserve">property, casualty, liability or other insurance to such Person to the extent that the amount of such pledged cash or securities is reasonable and customary with respect to such insurance and such insurance is being maintained in accordance with </w:t>
      </w:r>
      <w:r>
        <w:rPr>
          <w:rFonts w:ascii="Times New Roman" w:cs="Times New Roman" w:eastAsia="Times New Roman" w:hAnsi="Times New Roman"/>
          <w:sz w:val="21"/>
          <w:szCs w:val="21"/>
          <w:u w:val="single" w:color="auto"/>
          <w:color w:val="auto"/>
        </w:rPr>
        <w:t>Section 8.07</w:t>
      </w:r>
      <w:r>
        <w:rPr>
          <w:rFonts w:ascii="Times New Roman" w:cs="Times New Roman" w:eastAsia="Times New Roman" w:hAnsi="Times New Roman"/>
          <w:sz w:val="21"/>
          <w:szCs w:val="21"/>
          <w:color w:val="auto"/>
        </w:rPr>
        <w:t xml:space="preserve">; (g) (i) any interest or title of a lessor or sub-lessor under any lease entered into by the Borrower or a Subsidiary as lessee covering only the assets so leased and (ii) with respect to the Borrower’s or any Subsidiary’s Rights of Way and leases of real Property, Liens securing Indebtedness of the owner(s) or master tenant(s) of the underlying real Property that is non-recourse with respect to the Borrower and its Subsidiaries;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foreclosure of any such Liens would not extinguish or terminate such Rights of Way and leases of real Property;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such Liens do not secure Indebtedness for borrowed money of the Borrower or any Subsidiary and do not encumber Property of the Borrower or any Subsidiary other than the Property that is the subject of such leases and items located thereon; (h) Liens, titles and interests of licensors of software and other intangible Property licensed by such licensors to the Borrower or any Subsidiary, restrictions and prohibitions on encumbrances and transferability with respect to such Property and the Borrower’s or such Subsidiary’s interests therein imposed by such licenses, and Liens and encumbrances encumbering such licensors’ titles and interests in such Property and to which the Borrower’s or such Subsidiary’s license interests may be subject or subordinate, in each case, whether or not evidenced by UCC financing statement filings or other documents of record,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Liens do not secure Indebtedness for borrowed money of the Borrower or any Subsidiary and do not encumber Property of the Borrower or any Subsidiary other than the Property that is the subject of such licenses; (i) judgment and attachment Liens not giving rise to an Event of Default; (j) contractual Liens arising in the ordinary course of business under contracts for the sale, transportation or exchange of oil and natural gas, unitization and pooling declarations and agreements, operating agreements, marketing agreements, processing agreements, development agreements, transportation agreements and other agreements that, in each case, are usual and customary in the midstream energy business and are for claims which are not delinquent or which are being contested in good faith by appropriate action and for which adequate reserves have been maintained in accordance with GAAP,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Liens referred to in this </w:t>
      </w:r>
      <w:r>
        <w:rPr>
          <w:rFonts w:ascii="Times New Roman" w:cs="Times New Roman" w:eastAsia="Times New Roman" w:hAnsi="Times New Roman"/>
          <w:sz w:val="21"/>
          <w:szCs w:val="21"/>
          <w:u w:val="single" w:color="auto"/>
          <w:color w:val="auto"/>
        </w:rPr>
        <w:t>clause (j)</w:t>
      </w:r>
      <w:r>
        <w:rPr>
          <w:rFonts w:ascii="Times New Roman" w:cs="Times New Roman" w:eastAsia="Times New Roman" w:hAnsi="Times New Roman"/>
          <w:sz w:val="21"/>
          <w:szCs w:val="21"/>
          <w:color w:val="auto"/>
        </w:rPr>
        <w:t xml:space="preserve"> do not secure Indebtedness for borrowed money and do not, individually or in the aggregate, materially impair the use of the Property covered by such Liens for the purposes of which such Property is held by the Borrower or any Subsidiary or materially impair the value of such Property subject thereto; (k) purported Liens evidenced by filing of UCC financing statements relating solely to operating leases that do not create security interests or relating solely to consignment or bailee arrangements, in each case entered into in the ordinary course of business; (l) Liens consisting of any condemnation or eminent domain proceeding or compulsory purchase order affecting real property; (m) customary commercial and industrial land use limitations imposed under Environmental Law; and (n) Liens given to a public utility or any Governmental Authority when required by such utility or Governmental Authority in connection with the ordinary conduct of the business of the Borrower or any Restricted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an action to enforce any Lien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or in </w:t>
      </w:r>
      <w:r>
        <w:rPr>
          <w:rFonts w:ascii="Times New Roman" w:cs="Times New Roman" w:eastAsia="Times New Roman" w:hAnsi="Times New Roman"/>
          <w:sz w:val="21"/>
          <w:szCs w:val="21"/>
          <w:u w:val="single" w:color="auto"/>
          <w:color w:val="auto"/>
        </w:rPr>
        <w:t>clause (j)</w:t>
      </w:r>
      <w:r>
        <w:rPr>
          <w:rFonts w:ascii="Times New Roman" w:cs="Times New Roman" w:eastAsia="Times New Roman" w:hAnsi="Times New Roman"/>
          <w:sz w:val="21"/>
          <w:szCs w:val="21"/>
          <w:color w:val="auto"/>
        </w:rPr>
        <w:t xml:space="preserve"> has been commenced and is not being contested in good faith by appropriate action and has not been adequately reserved for in accordance with GAAP, such Lien will not be an “Excepted Lien”. The term “Excepted Liens” shall not include any Lien securing Indebtedness for borrowed money.</w:t>
      </w:r>
    </w:p>
    <w:p>
      <w:pPr>
        <w:spacing w:after="0" w:line="373" w:lineRule="exact"/>
        <w:rPr>
          <w:sz w:val="20"/>
          <w:szCs w:val="20"/>
          <w:color w:val="auto"/>
        </w:rPr>
      </w:pPr>
    </w:p>
    <w:p>
      <w:pPr>
        <w:jc w:val="both"/>
        <w:ind w:right="399"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Accounts</w:t>
      </w:r>
      <w:r>
        <w:rPr>
          <w:rFonts w:ascii="Times New Roman" w:cs="Times New Roman" w:eastAsia="Times New Roman" w:hAnsi="Times New Roman"/>
          <w:sz w:val="22"/>
          <w:szCs w:val="22"/>
          <w:color w:val="auto"/>
        </w:rPr>
        <w:t>” means depository accounts that are used solely for one or more of the following purposes: (a) making payroll and withholding tax payments related thereto and other employee wage and benefit payments and accrued and unpaid employee compensation (including</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salaries, wages, benefits and expense reimbursements), (b) paying Taxes, including sales taxes,</w:t>
      </w:r>
    </w:p>
    <w:p>
      <w:pPr>
        <w:spacing w:after="0" w:line="14" w:lineRule="exact"/>
        <w:rPr>
          <w:sz w:val="20"/>
          <w:szCs w:val="20"/>
          <w:color w:val="auto"/>
        </w:rPr>
      </w:pPr>
    </w:p>
    <w:p>
      <w:pPr>
        <w:jc w:val="both"/>
        <w:ind w:right="399"/>
        <w:spacing w:after="0" w:line="232" w:lineRule="auto"/>
        <w:rPr>
          <w:sz w:val="20"/>
          <w:szCs w:val="20"/>
          <w:color w:val="auto"/>
        </w:rPr>
      </w:pPr>
      <w:r>
        <w:rPr>
          <w:rFonts w:ascii="Times New Roman" w:cs="Times New Roman" w:eastAsia="Times New Roman" w:hAnsi="Times New Roman"/>
          <w:sz w:val="22"/>
          <w:szCs w:val="22"/>
          <w:color w:val="auto"/>
        </w:rPr>
        <w:t xml:space="preserve">(c)as escrow accounts or as fiduciary or trust accounts or for the benefit of Persons other than the Borrower or its Restricted Subsidiaries, (d) zero balance accounts in which no overnight balance is maintained or (e) any other Deposit Account so long as the balance in such Deposit Account does not, individually, exceed $250,000 at any time and the aggregate balance of all Deposit Accounts excluded pursuant to this clause (e) does not exceed $750,000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of the principal operating, revenue or collection accounts of the Loan Parties constitute an Excluded Account.</w:t>
      </w:r>
    </w:p>
    <w:p>
      <w:pPr>
        <w:spacing w:after="0" w:line="183"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has the meaning given such term in the Guaranty and Collateral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Excluded Assets shall not include any Proceeds (as defined in the Uniform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Commercial Code), substitutions or replacements of any Excluded Assets (except to the extent that such Proceeds (as defined in the Uniform Commercial Code), substitutions or replacements independently constitute Excluded Assets).</w:t>
      </w:r>
    </w:p>
    <w:p>
      <w:pPr>
        <w:spacing w:after="0" w:line="177"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Hedging Obligations</w:t>
      </w:r>
      <w:r>
        <w:rPr>
          <w:rFonts w:ascii="Times New Roman" w:cs="Times New Roman" w:eastAsia="Times New Roman" w:hAnsi="Times New Roman"/>
          <w:sz w:val="22"/>
          <w:szCs w:val="22"/>
          <w:color w:val="auto"/>
        </w:rPr>
        <w:t>” means, in respect of any Loan Party or any other Person guaranteeing or granting a security interest in any Collateral to secure any obligations in respect of any Hedging Agreement, individually determined on a Person by Person basis, any obligations in respect of any Hedging Agreement if, and solely to the extent that, all or a portion of the guarantee of such Person of, or the grant by such Person of a security interest to secure, such obligations in respect of any Hedging Agreement (or any guarantee thereof) is or becomes illegal under the Commodity Exchange Act by virtue of such Person’s failure for any reason to constitute an “eligible contract participant” (as defined in the Commodity Exchange Act) at the time such guarantee or grant of a security interest becomes effective with respect to such obligations in respect of any Hedging Agreement.</w:t>
      </w:r>
    </w:p>
    <w:p>
      <w:pPr>
        <w:spacing w:after="0" w:line="183"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Property</w:t>
      </w:r>
      <w:r>
        <w:rPr>
          <w:rFonts w:ascii="Times New Roman" w:cs="Times New Roman" w:eastAsia="Times New Roman" w:hAnsi="Times New Roman"/>
          <w:sz w:val="22"/>
          <w:szCs w:val="22"/>
          <w:color w:val="auto"/>
        </w:rPr>
        <w:t xml:space="preserve">” means (a) any Properties expressly excluded from the coverage of any Security Instrument by the terms thereof (including, for the avoidance of doubt, Excluded Assets), (b) any Properties subject to Liens permitted by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 xml:space="preserve"> to the extent that making such Properties subject to Liens under Security Instruments would violate the terms of the documents governing such Liens permitted by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 (c) all owned or leased real Property that does not constitute Material Real Property, (d) Excluded Accounts, (e) any Building or Manufactured (Mobile) Home owned by any Loan Party and (f) any other Property as to which the Administrative Agent determines in its sole discretion that the cost or difficulty of obtaining a perfected security interest in or Lien on such Property is excessive in relation to the benefit to the Secured Parties of the security to be afforded thereby.</w:t>
      </w:r>
    </w:p>
    <w:p>
      <w:pPr>
        <w:spacing w:after="0" w:line="183" w:lineRule="exact"/>
        <w:rPr>
          <w:sz w:val="20"/>
          <w:szCs w:val="20"/>
          <w:color w:val="auto"/>
        </w:rPr>
      </w:pPr>
    </w:p>
    <w:p>
      <w:pPr>
        <w:jc w:val="both"/>
        <w:ind w:right="399" w:firstLine="74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on it by the jurisdiction (or any political subdivision thereof) under the laws of which such Recipient is organized or in which its principal office is located or, in the case of any Lender, in which its applicable lending office is located, or (ii) that are Other Connection Taxes, (b) in the case of a Lender, any U.S. federal withholding tax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22"/>
          <w:szCs w:val="22"/>
          <w:u w:val="single" w:color="auto"/>
          <w:color w:val="auto"/>
        </w:rPr>
        <w:t>Section</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53" w:name="page54"/>
    <w:bookmarkEnd w:id="53"/>
    <w:p>
      <w:pPr>
        <w:jc w:val="both"/>
        <w:ind w:right="399"/>
        <w:spacing w:after="0" w:line="238" w:lineRule="auto"/>
        <w:rPr>
          <w:sz w:val="20"/>
          <w:szCs w:val="20"/>
          <w:color w:val="auto"/>
        </w:rPr>
      </w:pPr>
      <w:r>
        <w:rPr>
          <w:rFonts w:ascii="Times New Roman" w:cs="Times New Roman" w:eastAsia="Times New Roman" w:hAnsi="Times New Roman"/>
          <w:sz w:val="22"/>
          <w:szCs w:val="22"/>
          <w:u w:val="single" w:color="auto"/>
          <w:color w:val="auto"/>
        </w:rPr>
        <w:t>5.04(b)</w:t>
      </w:r>
      <w:r>
        <w:rPr>
          <w:rFonts w:ascii="Times New Roman" w:cs="Times New Roman" w:eastAsia="Times New Roman" w:hAnsi="Times New Roman"/>
          <w:sz w:val="22"/>
          <w:szCs w:val="22"/>
          <w:color w:val="auto"/>
        </w:rPr>
        <w:t xml:space="preserve">) or (ii) such Lender changes its lending office, except in each case to the extent that, pursuant to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2"/>
          <w:szCs w:val="22"/>
          <w:u w:val="single" w:color="auto"/>
          <w:color w:val="auto"/>
        </w:rPr>
        <w:t>Section 5.03(f)</w:t>
      </w:r>
      <w:r>
        <w:rPr>
          <w:rFonts w:ascii="Times New Roman" w:cs="Times New Roman" w:eastAsia="Times New Roman" w:hAnsi="Times New Roman"/>
          <w:sz w:val="22"/>
          <w:szCs w:val="22"/>
          <w:color w:val="auto"/>
        </w:rPr>
        <w:t xml:space="preserve"> or Section 5.03(h) and (d) any withholding Taxes imposed under FATCA.</w:t>
      </w:r>
    </w:p>
    <w:p>
      <w:pPr>
        <w:spacing w:after="0" w:line="177"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sections that are substantively comparable and not materially more onerous to comply with), any current or future regulations or official interpretations thereof, any agreement entered into pursuant to section 1471(b)(1) of the Code, any intergovernmental agreement entered into in connection with the implementation the foregoing, and any fiscal or regulatory legislation, rules or official practices adopted pursuant to any intergovernmental agreement, treaty or convention entered into in connection with the implementation of the foregoing.</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means the Foreign Corrupt Practices Act of 1977, as amended, and any successor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thereto.</w:t>
      </w:r>
    </w:p>
    <w:p>
      <w:pPr>
        <w:spacing w:after="0" w:line="182"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Flood Insurance</w:t>
      </w:r>
      <w:r>
        <w:rPr>
          <w:rFonts w:ascii="Times New Roman" w:cs="Times New Roman" w:eastAsia="Times New Roman" w:hAnsi="Times New Roman"/>
          <w:sz w:val="22"/>
          <w:szCs w:val="22"/>
          <w:color w:val="auto"/>
        </w:rPr>
        <w:t>” means federally backed Flood Insurance available under the National Flood Insurance Program to owners of real Property improvements located in Special Flood Hazard Areas in a community participating in the National Flood Insurance Program.</w:t>
      </w:r>
    </w:p>
    <w:p>
      <w:pPr>
        <w:spacing w:after="0" w:line="173" w:lineRule="exact"/>
        <w:rPr>
          <w:sz w:val="20"/>
          <w:szCs w:val="20"/>
          <w:color w:val="auto"/>
        </w:rPr>
      </w:pPr>
    </w:p>
    <w:p>
      <w:pPr>
        <w:jc w:val="both"/>
        <w:ind w:right="399" w:firstLine="747"/>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Funds Effective Rate</w:t>
      </w:r>
      <w:r>
        <w:rPr>
          <w:rFonts w:ascii="Times New Roman" w:cs="Times New Roman" w:eastAsia="Times New Roman" w:hAnsi="Times New Roman"/>
          <w:sz w:val="21"/>
          <w:szCs w:val="21"/>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 Notwithstanding the foregoing, if the Federal Funds Effective Rate shall be less than zero, such rate shall be deemed to be zero for purposes of this Agreement.</w:t>
      </w:r>
    </w:p>
    <w:p>
      <w:pPr>
        <w:spacing w:after="0" w:line="172"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that certain engagement letter dated as of February 5, 2026, by and among the Borrower, the Administrative Agent and Wells Fargo Securities, LLC.</w:t>
      </w:r>
    </w:p>
    <w:p>
      <w:pPr>
        <w:spacing w:after="0" w:line="158" w:lineRule="exact"/>
        <w:rPr>
          <w:sz w:val="20"/>
          <w:szCs w:val="20"/>
          <w:color w:val="auto"/>
        </w:rPr>
      </w:pPr>
    </w:p>
    <w:p>
      <w:pPr>
        <w:jc w:val="both"/>
        <w:ind w:right="399" w:firstLine="747"/>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FEMA</w:t>
      </w:r>
      <w:r>
        <w:rPr>
          <w:rFonts w:ascii="Times New Roman" w:cs="Times New Roman" w:eastAsia="Times New Roman" w:hAnsi="Times New Roman"/>
          <w:sz w:val="22"/>
          <w:szCs w:val="22"/>
          <w:color w:val="auto"/>
        </w:rPr>
        <w:t>” means the Federal Emergency Management Agency, a component of the United States Department of Homeland Security that administers the National Flood Insurance Program, or any of its successors.</w:t>
      </w:r>
    </w:p>
    <w:p>
      <w:pPr>
        <w:spacing w:after="0" w:line="1" w:lineRule="exact"/>
        <w:rPr>
          <w:sz w:val="20"/>
          <w:szCs w:val="20"/>
          <w:color w:val="auto"/>
        </w:rPr>
      </w:pPr>
    </w:p>
    <w:p>
      <w:pPr>
        <w:ind w:left="760" w:right="399"/>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FERC</w:t>
      </w:r>
      <w:r>
        <w:rPr>
          <w:rFonts w:ascii="Times New Roman" w:cs="Times New Roman" w:eastAsia="Times New Roman" w:hAnsi="Times New Roman"/>
          <w:sz w:val="22"/>
          <w:szCs w:val="22"/>
          <w:color w:val="auto"/>
        </w:rPr>
        <w:t>” means the Federal Energy Regulatory Commission or any of its successors. “</w:t>
      </w:r>
      <w:r>
        <w:rPr>
          <w:rFonts w:ascii="Times New Roman" w:cs="Times New Roman" w:eastAsia="Times New Roman" w:hAnsi="Times New Roman"/>
          <w:sz w:val="22"/>
          <w:szCs w:val="22"/>
          <w:u w:val="single" w:color="auto"/>
          <w:color w:val="auto"/>
        </w:rPr>
        <w:t>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for any Person, a Person having the responsibility of a chief</w:t>
      </w:r>
    </w:p>
    <w:p>
      <w:pPr>
        <w:spacing w:after="0" w:line="1" w:lineRule="exact"/>
        <w:rPr>
          <w:sz w:val="20"/>
          <w:szCs w:val="20"/>
          <w:color w:val="auto"/>
        </w:rPr>
      </w:pPr>
    </w:p>
    <w:p>
      <w:pPr>
        <w:jc w:val="both"/>
        <w:ind w:right="399"/>
        <w:spacing w:after="0" w:line="235" w:lineRule="auto"/>
        <w:rPr>
          <w:sz w:val="20"/>
          <w:szCs w:val="20"/>
          <w:color w:val="auto"/>
        </w:rPr>
      </w:pPr>
      <w:r>
        <w:rPr>
          <w:rFonts w:ascii="Times New Roman" w:cs="Times New Roman" w:eastAsia="Times New Roman" w:hAnsi="Times New Roman"/>
          <w:sz w:val="22"/>
          <w:szCs w:val="22"/>
          <w:color w:val="auto"/>
        </w:rPr>
        <w:t>executive officer, president, financial officer, principal accounting officer, treasurer or controller of such Person. Unless otherwise specified, all references herein to a Financial Officer mean a Financial Officer of the Borrower.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7.04(a)</w:t>
      </w:r>
      <w:r>
        <w:rPr>
          <w:rFonts w:ascii="Times New Roman" w:cs="Times New Roman" w:eastAsia="Times New Roman" w:hAnsi="Times New Roman"/>
          <w:sz w:val="22"/>
          <w:szCs w:val="22"/>
          <w:color w:val="auto"/>
        </w:rPr>
        <w:t>.</w:t>
      </w:r>
    </w:p>
    <w:p>
      <w:pPr>
        <w:spacing w:after="0" w:line="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54" w:name="page55"/>
    <w:bookmarkEnd w:id="54"/>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Flood Insurance</w:t>
      </w:r>
      <w:r>
        <w:rPr>
          <w:rFonts w:ascii="Times New Roman" w:cs="Times New Roman" w:eastAsia="Times New Roman" w:hAnsi="Times New Roman"/>
          <w:sz w:val="22"/>
          <w:szCs w:val="22"/>
          <w:color w:val="auto"/>
        </w:rPr>
        <w:t>” means, for any owned real Property located in a Special Flood Hazard Area, Federal Flood Insurance or private insurance that meets or exceeds the requirements set forth by FEMA in its Mandatory Purchase of Flood Insurance Guidelines.</w:t>
      </w:r>
    </w:p>
    <w:p>
      <w:pPr>
        <w:spacing w:after="0" w:line="173"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Flood Insurance Regulations</w:t>
      </w:r>
      <w:r>
        <w:rPr>
          <w:rFonts w:ascii="Times New Roman" w:cs="Times New Roman" w:eastAsia="Times New Roman" w:hAnsi="Times New Roman"/>
          <w:sz w:val="22"/>
          <w:szCs w:val="22"/>
          <w:color w:val="auto"/>
        </w:rPr>
        <w:t>” means (a) the National Flood Insurance Act of 1968 as now or hereafter in effect or any successor statute thereto, (b) the Flood Disaster Protection Act of 1973 as now or hereafter in effect or any successor statute thereto, (c) the National Flood Insurance Reform Act of 1994 (amending 42 USC § 4001, et seq.), as the same may be amended or recodified from time to time, and (d) the Flood Insurance Reform Act of 2004 as now or hereafter in effect or any successor statute thereto, and, in each case, any regulations promulgated thereunder.</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a rate per annum equal to 0.00%.</w:t>
      </w:r>
    </w:p>
    <w:p>
      <w:pPr>
        <w:spacing w:after="0" w:line="206" w:lineRule="exact"/>
        <w:rPr>
          <w:sz w:val="20"/>
          <w:szCs w:val="20"/>
          <w:color w:val="auto"/>
        </w:rPr>
      </w:pPr>
    </w:p>
    <w:p>
      <w:pPr>
        <w:ind w:right="159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any Lender that is not a “United States person” as defined in section 7701(a)(30) of the Code.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Subsidiary that is not a Domestic Subsidiary.</w:t>
      </w:r>
    </w:p>
    <w:p>
      <w:pPr>
        <w:spacing w:after="0" w:line="206"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Fronting Exposure</w:t>
      </w:r>
      <w:r>
        <w:rPr>
          <w:rFonts w:ascii="Times New Roman" w:cs="Times New Roman" w:eastAsia="Times New Roman" w:hAnsi="Times New Roman"/>
          <w:sz w:val="22"/>
          <w:szCs w:val="22"/>
          <w:color w:val="auto"/>
        </w:rPr>
        <w:t>” means, at any time there is a Defaulting Lender, with respect to the Issuing Bank, such Defaulting Lender’s LC Exposure with respect to Letters of Credit issued by such Issuing Bank other than Letters of Credit as to which such Defaulting Lender’s participation obligation has been reallocated to other Lenders or Cash Collateralized in accordance with the terms hereof.</w:t>
      </w:r>
    </w:p>
    <w:p>
      <w:pPr>
        <w:spacing w:after="0" w:line="180"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bonds and similar extensions of credit in the ordinary course of its business.</w:t>
      </w:r>
    </w:p>
    <w:p>
      <w:pPr>
        <w:spacing w:after="0" w:line="173" w:lineRule="exact"/>
        <w:rPr>
          <w:sz w:val="20"/>
          <w:szCs w:val="20"/>
          <w:color w:val="auto"/>
        </w:rPr>
      </w:pPr>
    </w:p>
    <w:p>
      <w:pPr>
        <w:ind w:right="129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means generally accepted accounting principles in the United States as in effect from time to time, subject to the terms and conditions set forth in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Gathering Systems</w:t>
      </w:r>
      <w:r>
        <w:rPr>
          <w:rFonts w:ascii="Times New Roman" w:cs="Times New Roman" w:eastAsia="Times New Roman" w:hAnsi="Times New Roman"/>
          <w:sz w:val="22"/>
          <w:szCs w:val="22"/>
          <w:color w:val="auto"/>
        </w:rPr>
        <w:t>” means any pipeline gathering, transportation, distribution or storage systems for Hydrocarbons that are owned or leased from time to time by any Relevant Party and used in the business of such Relevant Party.</w:t>
      </w:r>
    </w:p>
    <w:p>
      <w:pPr>
        <w:spacing w:after="0" w:line="173"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w:t>
      </w:r>
    </w:p>
    <w:p>
      <w:pPr>
        <w:spacing w:after="0" w:line="1" w:lineRule="exact"/>
        <w:rPr>
          <w:sz w:val="20"/>
          <w:szCs w:val="20"/>
          <w:color w:val="auto"/>
        </w:rPr>
      </w:pPr>
    </w:p>
    <w:p>
      <w:pPr>
        <w:ind w:right="399" w:firstLine="2"/>
        <w:spacing w:after="0" w:line="237" w:lineRule="auto"/>
        <w:tabs>
          <w:tab w:leader="none" w:pos="29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National Association of Insurance Commissioners and (ii) any supranational bodies, such as the European Union or the European Central Bank).</w:t>
      </w:r>
    </w:p>
    <w:p>
      <w:pPr>
        <w:spacing w:after="0" w:line="178"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Requirement</w:t>
      </w:r>
      <w:r>
        <w:rPr>
          <w:rFonts w:ascii="Times New Roman" w:cs="Times New Roman" w:eastAsia="Times New Roman" w:hAnsi="Times New Roman"/>
          <w:sz w:val="22"/>
          <w:szCs w:val="22"/>
          <w:color w:val="auto"/>
        </w:rPr>
        <w:t>” means any applicable law, statute, code, ordinance, order, determination, rule, regulation, judgment, decree, injunction, franchise, permit, certificate, license, rules of common law, authorization or other legally binding directive or requirement, whether now or hereafter in effect, of any Governmental Authority.</w:t>
      </w:r>
    </w:p>
    <w:p>
      <w:pPr>
        <w:spacing w:after="0" w:line="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55" w:name="page56"/>
    <w:bookmarkEnd w:id="55"/>
    <w:p>
      <w:pPr>
        <w:jc w:val="both"/>
        <w:ind w:right="399" w:firstLine="810"/>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or by any Person (the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in any manner, whether directly or indirectly, and including any obligation of the guarantor, direct or indirect,</w:t>
      </w:r>
    </w:p>
    <w:p>
      <w:pPr>
        <w:spacing w:after="0" w:line="1" w:lineRule="exact"/>
        <w:rPr>
          <w:sz w:val="20"/>
          <w:szCs w:val="20"/>
          <w:color w:val="auto"/>
        </w:rPr>
      </w:pPr>
    </w:p>
    <w:p>
      <w:pPr>
        <w:jc w:val="both"/>
        <w:ind w:right="399" w:firstLine="2"/>
        <w:spacing w:after="0" w:line="243" w:lineRule="auto"/>
        <w:tabs>
          <w:tab w:leader="none" w:pos="31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term “Guarantee” shall not include endorsements for collection or deposit in the ordinary course of business.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mean, collectively or individually as the context requires,</w:t>
      </w:r>
    </w:p>
    <w:p>
      <w:pPr>
        <w:spacing w:after="0" w:line="14" w:lineRule="exact"/>
        <w:rPr>
          <w:sz w:val="20"/>
          <w:szCs w:val="20"/>
          <w:color w:val="auto"/>
        </w:rPr>
      </w:pPr>
    </w:p>
    <w:p>
      <w:pPr>
        <w:jc w:val="both"/>
        <w:ind w:right="399" w:firstLine="2"/>
        <w:spacing w:after="0" w:line="232" w:lineRule="auto"/>
        <w:tabs>
          <w:tab w:leader="none" w:pos="30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(solely with respect to Secured Obligations of the other Loan Parties for which such Loan Parties are primary obligors), (b) any Subsidiaries listed on </w:t>
      </w:r>
      <w:r>
        <w:rPr>
          <w:rFonts w:ascii="Times New Roman" w:cs="Times New Roman" w:eastAsia="Times New Roman" w:hAnsi="Times New Roman"/>
          <w:sz w:val="22"/>
          <w:szCs w:val="22"/>
          <w:u w:val="single" w:color="auto"/>
          <w:color w:val="auto"/>
        </w:rPr>
        <w:t>Schedule 7.14</w:t>
      </w:r>
      <w:r>
        <w:rPr>
          <w:rFonts w:ascii="Times New Roman" w:cs="Times New Roman" w:eastAsia="Times New Roman" w:hAnsi="Times New Roman"/>
          <w:sz w:val="22"/>
          <w:szCs w:val="22"/>
          <w:color w:val="auto"/>
        </w:rPr>
        <w:t xml:space="preserve">, excluding any Unrestricted Subsidiaries, and (c) each other Subsidiary that guarantees the Secured Obligations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8.14(a)</w:t>
      </w:r>
      <w:r>
        <w:rPr>
          <w:rFonts w:ascii="Times New Roman" w:cs="Times New Roman" w:eastAsia="Times New Roman" w:hAnsi="Times New Roman"/>
          <w:sz w:val="22"/>
          <w:szCs w:val="22"/>
          <w:color w:val="auto"/>
        </w:rPr>
        <w:t>. For the avoidance of doubt, no Parent Pledgor under the Parent Pledge Agreement (in its capacity as such) shall be deemed to be a Guarantor or a Loan Party and shall have no obligations under any Loan Document other than those expressly set forth in the Parent Pledge Agreement.</w:t>
      </w:r>
    </w:p>
    <w:p>
      <w:pPr>
        <w:spacing w:after="0" w:line="183"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 and Collateral Agreement</w:t>
      </w:r>
      <w:r>
        <w:rPr>
          <w:rFonts w:ascii="Times New Roman" w:cs="Times New Roman" w:eastAsia="Times New Roman" w:hAnsi="Times New Roman"/>
          <w:sz w:val="22"/>
          <w:szCs w:val="22"/>
          <w:color w:val="auto"/>
        </w:rPr>
        <w:t>” means the agreement, dated as of the Effective Date, executed by the Borrower and the Guarantors, pursuant to which (a) the Borrower and such Guarantors grant security interests in certain “Collateral” (as defined therein) to the Administrative Agent for the benefit of the Secured Parties to secure the Secured Obligations and (b) each Guarantor unconditionally guaranties, on a joint and several basis, payment of the Secured Obligations, as the same may be amended, restated, supplemented or otherwise modified from time to time.</w:t>
      </w:r>
    </w:p>
    <w:p>
      <w:pPr>
        <w:spacing w:after="0" w:line="181"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w:t>
      </w:r>
      <w:r>
        <w:rPr>
          <w:rFonts w:ascii="Times New Roman" w:cs="Times New Roman" w:eastAsia="Times New Roman" w:hAnsi="Times New Roman"/>
          <w:sz w:val="22"/>
          <w:szCs w:val="22"/>
          <w:color w:val="auto"/>
        </w:rPr>
        <w:t>” means any substance regulated or as to which liability may be imposed under any applicable Environmental Law due to hazardous, dangerous, toxic, or deleterious properties or characteristics including: (a) any chemical, compound, material, product, byproduct, substance or waste defined as or included in the definition or meaning of “hazardous substance,” “hazardous material,” “hazardous waste,” “solid waste,” “toxic waste,” “extremely hazardous substance,” “toxic substance,” “contaminant,” “pollutant,” found in any applicable Environmental Law; (b) Hydrocarbons, petroleum products, petroleum substances, natural gas, oil, oil and gas waste, crude oil, and any components, fractions, or derivatives thereof; and (c) radioactive materials, explosives, asbestos or asbestos containing materials, polychlorinated biphenyls, radon, or infectious or medical wastes.</w:t>
      </w:r>
    </w:p>
    <w:p>
      <w:pPr>
        <w:spacing w:after="0" w:line="183"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means any agreement or confirmation with respect to any swap, forward, future or derivative transaction or option or similar agreement, whether exchange traded, “over-the-counter” or otherwise, involving, or settled by reference to, one or more rates, currencies, commodities, equity or debt instruments or securities, or economic, financial or pricing indices or measures of economic, financial or pricing risk or value or any similar transaction or</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56" w:name="page57"/>
    <w:bookmarkEnd w:id="56"/>
    <w:p>
      <w:pPr>
        <w:jc w:val="both"/>
        <w:ind w:right="399"/>
        <w:spacing w:after="0" w:line="238" w:lineRule="auto"/>
        <w:rPr>
          <w:sz w:val="20"/>
          <w:szCs w:val="20"/>
          <w:color w:val="auto"/>
        </w:rPr>
      </w:pPr>
      <w:r>
        <w:rPr>
          <w:rFonts w:ascii="Times New Roman" w:cs="Times New Roman" w:eastAsia="Times New Roman" w:hAnsi="Times New Roman"/>
          <w:sz w:val="22"/>
          <w:szCs w:val="22"/>
          <w:color w:val="auto"/>
        </w:rPr>
        <w:t xml:space="preserve">any combination of these transactions in each case, including any agreement, contract or transaction that constitutes a “swap” within the meaning of section 1a(47) of the Commodity Exchange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phantom stock or similar plan providing for payments only on account of services provided by current or former directors, officers, employees or consultants of the Borrower or its Subsidiaries shall be a Hedging Agreement.</w:t>
      </w:r>
    </w:p>
    <w:p>
      <w:pPr>
        <w:spacing w:after="0" w:line="177"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Termination Value</w:t>
      </w:r>
      <w:r>
        <w:rPr>
          <w:rFonts w:ascii="Times New Roman" w:cs="Times New Roman" w:eastAsia="Times New Roman" w:hAnsi="Times New Roman"/>
          <w:sz w:val="22"/>
          <w:szCs w:val="22"/>
          <w:color w:val="auto"/>
        </w:rPr>
        <w:t xml:space="preserve">” means,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the amount(s) determined as the mark-to-market value(s) for such Hedging Agreements, as determined by the counterparties to such Hedging Agreements.</w:t>
      </w:r>
    </w:p>
    <w:p>
      <w:pPr>
        <w:spacing w:after="0" w:line="181"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Transaction</w:t>
      </w:r>
      <w:r>
        <w:rPr>
          <w:rFonts w:ascii="Times New Roman" w:cs="Times New Roman" w:eastAsia="Times New Roman" w:hAnsi="Times New Roman"/>
          <w:sz w:val="22"/>
          <w:szCs w:val="22"/>
          <w:color w:val="auto"/>
        </w:rPr>
        <w:t>” means any trade or other transaction entered into by a Person under a Hedging Agreement.</w:t>
      </w:r>
    </w:p>
    <w:p>
      <w:pPr>
        <w:spacing w:after="0" w:line="158" w:lineRule="exact"/>
        <w:rPr>
          <w:sz w:val="20"/>
          <w:szCs w:val="20"/>
          <w:color w:val="auto"/>
        </w:rPr>
      </w:pPr>
    </w:p>
    <w:p>
      <w:pPr>
        <w:jc w:val="both"/>
        <w:ind w:right="399" w:firstLine="747"/>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Highest Lawful Rate</w:t>
      </w:r>
      <w:r>
        <w:rPr>
          <w:rFonts w:ascii="Times New Roman" w:cs="Times New Roman" w:eastAsia="Times New Roman" w:hAnsi="Times New Roman"/>
          <w:sz w:val="21"/>
          <w:szCs w:val="21"/>
          <w:color w:val="auto"/>
        </w:rPr>
        <w:t>” means, with respect to each Lender, the maximum nonusurious interest rate, if any, that at any time or from time to time may be contracted for, taken, reserved, charged or received on its Loans or on other Secured Obligations under laws applicable to such Lender that are presently in effect or, to the extent allowed by law, under such applicable laws that may hereafter be in effect and that allow a higher maximum nonusurious interest rate than applicable laws allow as of the date hereof.</w:t>
      </w:r>
    </w:p>
    <w:p>
      <w:pPr>
        <w:spacing w:after="0" w:line="168"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Hydrocarbons</w:t>
      </w:r>
      <w:r>
        <w:rPr>
          <w:rFonts w:ascii="Times New Roman" w:cs="Times New Roman" w:eastAsia="Times New Roman" w:hAnsi="Times New Roman"/>
          <w:sz w:val="22"/>
          <w:szCs w:val="22"/>
          <w:color w:val="auto"/>
        </w:rPr>
        <w:t>” means oil, gas, casinghead gas, drip gasoline, natural gasoline, condensate, distillate, liquid hydrocarbons, gaseous hydrocarbons and all products refined or separated therefrom.</w:t>
      </w:r>
    </w:p>
    <w:p>
      <w:pPr>
        <w:spacing w:after="0" w:line="158" w:lineRule="exact"/>
        <w:rPr>
          <w:sz w:val="20"/>
          <w:szCs w:val="20"/>
          <w:color w:val="auto"/>
        </w:rPr>
      </w:pPr>
    </w:p>
    <w:p>
      <w:pPr>
        <w:jc w:val="both"/>
        <w:ind w:right="399" w:firstLine="747"/>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for any Person,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accounts payable incurred in the ordinary course of business that are not more than ninety (90) days past due or are being contested in good faith by appropriate proceedings and for which such Person has set aside on its books adequate reserves in accordance with GAAP), (f) all Indebtedness of others secured by (or for which the holder of such Indebtedness has an existing right, contingent or otherwise, to be secured by) any Lien on property owned or acquired by such Person, whether or not the Indebtedness secured thereby has been assumed (it being understood that, for purposes of this Agreement, the amount of Indebtedness in this clause (f) that is contractually non-recourse with respect to the Relevant Parties shall be deemed to be an amount equal to the lesser of (i) the aggregate unpaid amount of such Indebtedness or (ii) the fair market value of the Property of the Relevant Parties securing such Indebtedness), (g) all Guarantees by such Person of Indebtedness of others to the extent of the lesser of the amount of such Indebtedness and the maximum stated amount of such guarantee or assurance against loss, (h) all Capital Lease Obligations of such Person and all obligations of such Person under Synthetic Leases, (i) all</w:t>
      </w:r>
    </w:p>
    <w:p>
      <w:pPr>
        <w:spacing w:after="0" w:line="1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57" w:name="page58"/>
    <w:bookmarkEnd w:id="57"/>
    <w:p>
      <w:pPr>
        <w:jc w:val="both"/>
        <w:ind w:right="399"/>
        <w:spacing w:after="0" w:line="232" w:lineRule="auto"/>
        <w:rPr>
          <w:sz w:val="20"/>
          <w:szCs w:val="20"/>
          <w:color w:val="auto"/>
        </w:rPr>
      </w:pPr>
      <w:r>
        <w:rPr>
          <w:rFonts w:ascii="Times New Roman" w:cs="Times New Roman" w:eastAsia="Times New Roman" w:hAnsi="Times New Roman"/>
          <w:sz w:val="22"/>
          <w:szCs w:val="22"/>
          <w:color w:val="auto"/>
        </w:rPr>
        <w:t>obligations, contingent or otherwise, of such Person as an account party in respect of letters of credit and letters of guaranty, (j) Disqualified Equity Interests, (k) all obligations, contingent or otherwise, of such Person in respect of bankers’ acceptances, (l) all obligations, contingent or otherwise, of such Person under Hedging Agreements after giving effect to any legally enforceable netting obligations, and (m) all obligations or undertakings of such Person to maintain or cause to be maintained the financial position or covenants of others or to purchase the Indebtedness of others. The Indebtedness of any Person shall include all obligations of such Person of the character described above to the extent such Person remains legally liable in respect thereof notwithstanding that any such obligation is not included as a liability of such Person under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other Person, except to the extent the terms of such Indebtedness provide that such Person is not liable therefor. Notwithstanding the preceding, “Indebtedness” of a Person shall not include any indebtedness that has been defeased in accordance with GAAP or defeased pursuant to the deposit of cash or Cash Equivalents (in any amount sufficient to satisfy all such indebtedness obligations at maturity or redemption, as applicable, and all payments of interest and premium, if any) in a trust or account created or pledged for the sole benefit of the holders of such indebtedness, and subject to no other Liens.</w:t>
      </w:r>
    </w:p>
    <w:p>
      <w:pPr>
        <w:spacing w:after="0" w:line="122" w:lineRule="exact"/>
        <w:rPr>
          <w:sz w:val="20"/>
          <w:szCs w:val="20"/>
          <w:color w:val="auto"/>
        </w:rPr>
      </w:pPr>
    </w:p>
    <w:p>
      <w:pPr>
        <w:jc w:val="both"/>
        <w:ind w:right="399"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xml:space="preserve">” means (a) Taxes other than Excluded Taxes, imposed on or with respect to any payment made by or on account of any obligation of any Loan Party under any Loan Document, and (b) to the extent not otherwise described in the foregoing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Other Taxes.</w:t>
      </w:r>
    </w:p>
    <w:p>
      <w:pPr>
        <w:spacing w:after="0" w:line="106" w:lineRule="exact"/>
        <w:rPr>
          <w:sz w:val="20"/>
          <w:szCs w:val="20"/>
          <w:color w:val="auto"/>
        </w:rPr>
      </w:pPr>
    </w:p>
    <w:p>
      <w:pPr>
        <w:ind w:right="185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MPA Period</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clause (1)(x)</w:t>
      </w:r>
      <w:r>
        <w:rPr>
          <w:rFonts w:ascii="Times New Roman" w:cs="Times New Roman" w:eastAsia="Times New Roman" w:hAnsi="Times New Roman"/>
          <w:sz w:val="22"/>
          <w:szCs w:val="22"/>
          <w:color w:val="auto"/>
        </w:rPr>
        <w:t xml:space="preserve"> of the definition of the term “Consolidated EBITDA”.</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Period</w:t>
      </w:r>
      <w:r>
        <w:rPr>
          <w:rFonts w:ascii="Times New Roman" w:cs="Times New Roman" w:eastAsia="Times New Roman" w:hAnsi="Times New Roman"/>
          <w:sz w:val="22"/>
          <w:szCs w:val="22"/>
          <w:color w:val="auto"/>
        </w:rPr>
        <w:t>” has the meaning assigned to such term in the definition of “</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Period Consolidated Net Leverage Ratio</w:t>
      </w:r>
      <w:r>
        <w:rPr>
          <w:rFonts w:ascii="Times New Roman" w:cs="Times New Roman" w:eastAsia="Times New Roman" w:hAnsi="Times New Roman"/>
          <w:sz w:val="22"/>
          <w:szCs w:val="22"/>
          <w:color w:val="auto"/>
        </w:rPr>
        <w:t xml:space="preserve">” means, with respect to any calculation of the Consolidated Net Leverage Ratio at any time during the Initial Period, the ratio of Consolidated Net Indebtedness at such time, </w:t>
      </w:r>
      <w:r>
        <w:rPr>
          <w:rFonts w:ascii="Times New Roman" w:cs="Times New Roman" w:eastAsia="Times New Roman" w:hAnsi="Times New Roman"/>
          <w:sz w:val="22"/>
          <w:szCs w:val="22"/>
          <w:i w:val="1"/>
          <w:iCs w:val="1"/>
          <w:color w:val="auto"/>
        </w:rPr>
        <w:t>divided</w:t>
      </w:r>
      <w:r>
        <w:rPr>
          <w:rFonts w:ascii="Times New Roman" w:cs="Times New Roman" w:eastAsia="Times New Roman" w:hAnsi="Times New Roman"/>
          <w:sz w:val="22"/>
          <w:szCs w:val="22"/>
          <w:color w:val="auto"/>
        </w:rPr>
        <w:t xml:space="preserve"> by (b) the sum of (i) Unadjusted Consolidated EBITDA for the period of four (4) consecutive fiscal quarters ending on the later of (x) September 30, 2025 and (y) last day of the fiscal quarter or fiscal year most recently ended on or prior to such date for which financial statements were delivered pursuant to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as applicable, plus (ii) any then applicable Material Project EBITDA Adjustments determined consistent with, and subject to the limitations set forth in, the definition of “Consolidated EBITDA”.</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Coverage Default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1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Election Request</w:t>
      </w:r>
      <w:r>
        <w:rPr>
          <w:rFonts w:ascii="Times New Roman" w:cs="Times New Roman" w:eastAsia="Times New Roman" w:hAnsi="Times New Roman"/>
          <w:sz w:val="22"/>
          <w:szCs w:val="22"/>
          <w:color w:val="auto"/>
        </w:rPr>
        <w:t xml:space="preserve">” means a request by the Borrower to convert or continue a Borrowing in accordance with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77" w:lineRule="exact"/>
        <w:rPr>
          <w:sz w:val="20"/>
          <w:szCs w:val="20"/>
          <w:color w:val="auto"/>
        </w:rPr>
      </w:pPr>
    </w:p>
    <w:p>
      <w:pPr>
        <w:ind w:right="399" w:firstLine="749"/>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means (a) with respect to any ABR Loan, the last day of each March, June, September and December and (b) with respect to any SOFR Loan, the last day of the</w:t>
      </w:r>
    </w:p>
    <w:p>
      <w:pPr>
        <w:ind w:left="5140"/>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58" w:name="page59"/>
    <w:bookmarkEnd w:id="58"/>
    <w:p>
      <w:pPr>
        <w:jc w:val="both"/>
        <w:ind w:right="399"/>
        <w:spacing w:after="0" w:line="239" w:lineRule="auto"/>
        <w:rPr>
          <w:sz w:val="20"/>
          <w:szCs w:val="20"/>
          <w:color w:val="auto"/>
        </w:rPr>
      </w:pPr>
      <w:r>
        <w:rPr>
          <w:rFonts w:ascii="Times New Roman" w:cs="Times New Roman" w:eastAsia="Times New Roman" w:hAnsi="Times New Roman"/>
          <w:sz w:val="22"/>
          <w:szCs w:val="22"/>
          <w:color w:val="auto"/>
        </w:rPr>
        <w:t>Interest Period applicable to the Borrowing of which such Loan is a part and, in the case of a SOFR Borrowing with an Interest Period of more than three months’ duration, each day prior to the last day of such Interest Period that occurs at intervals of three months’ duration after the first day of such Interest Period.</w:t>
      </w:r>
    </w:p>
    <w:p>
      <w:pPr>
        <w:spacing w:after="0" w:line="113" w:lineRule="exact"/>
        <w:rPr>
          <w:sz w:val="20"/>
          <w:szCs w:val="20"/>
          <w:color w:val="auto"/>
        </w:rPr>
      </w:pPr>
    </w:p>
    <w:p>
      <w:pPr>
        <w:jc w:val="both"/>
        <w:ind w:right="399"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as to any SOFR Loan, the period commencing on the date such SOFR Loan is disbursed or converted to or continued as a SOFR Loan and ending on the date one (1), three (3) or six (6) months thereafter, in each case as selected by the Borrower in its Borrowing Request or Interest Election Request and subject to availability;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180" w:lineRule="exact"/>
        <w:rPr>
          <w:sz w:val="20"/>
          <w:szCs w:val="20"/>
          <w:color w:val="auto"/>
        </w:rPr>
      </w:pPr>
    </w:p>
    <w:p>
      <w:pPr>
        <w:jc w:val="both"/>
        <w:ind w:left="460" w:right="399" w:firstLine="755"/>
        <w:spacing w:after="0" w:line="239" w:lineRule="auto"/>
        <w:tabs>
          <w:tab w:leader="none" w:pos="159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Period shall commence on the date of advance or continuation of or conversion to any SOFR Loan and, in the case of immediately successive Interest Periods, each successive Interest Period shall commence on the date on which the immediately preceding Interest Period expires;</w:t>
      </w:r>
    </w:p>
    <w:p>
      <w:pPr>
        <w:spacing w:after="0" w:line="180" w:lineRule="exact"/>
        <w:rPr>
          <w:rFonts w:ascii="Times New Roman" w:cs="Times New Roman" w:eastAsia="Times New Roman" w:hAnsi="Times New Roman"/>
          <w:sz w:val="22"/>
          <w:szCs w:val="22"/>
          <w:color w:val="auto"/>
        </w:rPr>
      </w:pPr>
    </w:p>
    <w:p>
      <w:pPr>
        <w:jc w:val="both"/>
        <w:ind w:left="460" w:right="399" w:firstLine="755"/>
        <w:spacing w:after="0" w:line="238" w:lineRule="auto"/>
        <w:tabs>
          <w:tab w:leader="none" w:pos="159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76" w:lineRule="exact"/>
        <w:rPr>
          <w:rFonts w:ascii="Times New Roman" w:cs="Times New Roman" w:eastAsia="Times New Roman" w:hAnsi="Times New Roman"/>
          <w:sz w:val="22"/>
          <w:szCs w:val="22"/>
          <w:color w:val="auto"/>
        </w:rPr>
      </w:pPr>
    </w:p>
    <w:p>
      <w:pPr>
        <w:jc w:val="both"/>
        <w:ind w:left="460" w:right="399" w:firstLine="755"/>
        <w:spacing w:after="0" w:line="239" w:lineRule="auto"/>
        <w:tabs>
          <w:tab w:leader="none" w:pos="159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80" w:lineRule="exact"/>
        <w:rPr>
          <w:rFonts w:ascii="Times New Roman" w:cs="Times New Roman" w:eastAsia="Times New Roman" w:hAnsi="Times New Roman"/>
          <w:sz w:val="22"/>
          <w:szCs w:val="22"/>
          <w:color w:val="auto"/>
        </w:rPr>
      </w:pPr>
    </w:p>
    <w:p>
      <w:pPr>
        <w:ind w:left="1960" w:hanging="745"/>
        <w:spacing w:after="0"/>
        <w:tabs>
          <w:tab w:leader="none" w:pos="19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w:t>
      </w:r>
    </w:p>
    <w:p>
      <w:pPr>
        <w:spacing w:after="0" w:line="206" w:lineRule="exact"/>
        <w:rPr>
          <w:rFonts w:ascii="Times New Roman" w:cs="Times New Roman" w:eastAsia="Times New Roman" w:hAnsi="Times New Roman"/>
          <w:sz w:val="22"/>
          <w:szCs w:val="22"/>
          <w:color w:val="auto"/>
        </w:rPr>
      </w:pPr>
    </w:p>
    <w:p>
      <w:pPr>
        <w:ind w:left="1960" w:hanging="745"/>
        <w:spacing w:after="0"/>
        <w:tabs>
          <w:tab w:leader="none" w:pos="19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no more than ten Interest Periods in effect at any time; and</w:t>
      </w:r>
    </w:p>
    <w:p>
      <w:pPr>
        <w:spacing w:after="0" w:line="206" w:lineRule="exact"/>
        <w:rPr>
          <w:rFonts w:ascii="Times New Roman" w:cs="Times New Roman" w:eastAsia="Times New Roman" w:hAnsi="Times New Roman"/>
          <w:sz w:val="22"/>
          <w:szCs w:val="22"/>
          <w:color w:val="auto"/>
        </w:rPr>
      </w:pPr>
    </w:p>
    <w:p>
      <w:pPr>
        <w:ind w:left="460" w:right="399" w:firstLine="755"/>
        <w:spacing w:after="0" w:line="241" w:lineRule="auto"/>
        <w:tabs>
          <w:tab w:leader="none" w:pos="159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tenor that has been removed from this definition pursuant to </w:t>
      </w:r>
      <w:r>
        <w:rPr>
          <w:rFonts w:ascii="Times New Roman" w:cs="Times New Roman" w:eastAsia="Times New Roman" w:hAnsi="Times New Roman"/>
          <w:sz w:val="22"/>
          <w:szCs w:val="22"/>
          <w:u w:val="single" w:color="auto"/>
          <w:color w:val="auto"/>
        </w:rPr>
        <w:t>Section 3.03(c)(iv)</w:t>
      </w:r>
      <w:r>
        <w:rPr>
          <w:rFonts w:ascii="Times New Roman" w:cs="Times New Roman" w:eastAsia="Times New Roman" w:hAnsi="Times New Roman"/>
          <w:sz w:val="22"/>
          <w:szCs w:val="22"/>
          <w:color w:val="auto"/>
        </w:rPr>
        <w:t xml:space="preserve"> shall be available for specification in any Borrowing Request or Interest Election Request.</w:t>
      </w:r>
    </w:p>
    <w:p>
      <w:pPr>
        <w:spacing w:after="0" w:line="1" w:lineRule="exact"/>
        <w:rPr>
          <w:rFonts w:ascii="Times New Roman" w:cs="Times New Roman" w:eastAsia="Times New Roman" w:hAnsi="Times New Roman"/>
          <w:sz w:val="22"/>
          <w:szCs w:val="22"/>
          <w:color w:val="auto"/>
        </w:rPr>
      </w:pPr>
    </w:p>
    <w:p>
      <w:pPr>
        <w:ind w:left="760" w:right="63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Interstate Commerce Act</w:t>
      </w:r>
      <w:r>
        <w:rPr>
          <w:rFonts w:ascii="Times New Roman" w:cs="Times New Roman" w:eastAsia="Times New Roman" w:hAnsi="Times New Roman"/>
          <w:sz w:val="22"/>
          <w:szCs w:val="22"/>
          <w:color w:val="auto"/>
        </w:rPr>
        <w:t>” means the Interstate Commerce Act of 1887, as amended. “</w:t>
      </w:r>
      <w:r>
        <w:rPr>
          <w:rFonts w:ascii="Times New Roman" w:cs="Times New Roman" w:eastAsia="Times New Roman" w:hAnsi="Times New Roman"/>
          <w:sz w:val="22"/>
          <w:szCs w:val="22"/>
          <w:u w:val="single" w:color="auto"/>
          <w:color w:val="auto"/>
        </w:rPr>
        <w:t>Interstate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Pipelines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7.28</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760" w:right="39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w:t>
      </w:r>
      <w:r>
        <w:rPr>
          <w:rFonts w:ascii="Times New Roman" w:cs="Times New Roman" w:eastAsia="Times New Roman" w:hAnsi="Times New Roman"/>
          <w:sz w:val="21"/>
          <w:szCs w:val="21"/>
          <w:color w:val="auto"/>
        </w:rPr>
        <w:t>” means, with respect to any Person, all investments by such Person in other Persons (including Affiliates) in the form of any direct or indirect deposit with, advance, loan or other extension of credit (including by way of Guarantee or similar arrangement (including the deposit of any Equity Interests to be sold) with respect to, Indebtedness or other liability of any other Person and (without duplication) an amount committed to be advanced, lent or extended to such Person) or capital contribution to (by means of any transfer of cash or other Property or any payment for Property or services for the account or use of others), or assumption of Indebtedness of, purchase or other acquisition of any other Indebtedness or equity participation or interest in, or any purchase or acquisition of Equity Interests, evidences of Indebtedness or other securities (excluding any interest in an oil or natural gas leasehold to the extent constituting a security under</w:t>
      </w:r>
    </w:p>
    <w:p>
      <w:pPr>
        <w:spacing w:after="0" w:line="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59" w:name="page60"/>
    <w:bookmarkEnd w:id="59"/>
    <w:p>
      <w:pPr>
        <w:jc w:val="both"/>
        <w:ind w:right="399"/>
        <w:spacing w:after="0" w:line="244" w:lineRule="auto"/>
        <w:rPr>
          <w:sz w:val="20"/>
          <w:szCs w:val="20"/>
          <w:color w:val="auto"/>
        </w:rPr>
      </w:pPr>
      <w:r>
        <w:rPr>
          <w:rFonts w:ascii="Times New Roman" w:cs="Times New Roman" w:eastAsia="Times New Roman" w:hAnsi="Times New Roman"/>
          <w:sz w:val="21"/>
          <w:szCs w:val="21"/>
          <w:color w:val="auto"/>
        </w:rPr>
        <w:t xml:space="preserve">applicable law) of, such other Person, and any purchase or other acquisition (in one transaction or a series of transactions) of any assets of any other Person constituting a business unit;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endorsement of negotiable instruments and documents in the ordinary course of business will not be deemed to be an Investment. If the Borrower or any Restricted Subsidiary sells or otherwise Disposes of any Equity Interests of any direct or indirect Restricted Subsidiary such that, after giving effect to any such sale or Disposition, such Person is no longer a Restricted Subsidiary, the Borrower will be deemed to have made an Investment on the date of any such sale or Disposition equal to the fair market value of the Borrower’s Investments in such Restricted Subsidiary that were not sold or Disposed of. The acquisition by the Borrower or any Restricted Subsidiary of a Person that holds an Investment in a third Person will be deemed to be an Investment by the Borrower or such Restricted Subsidiary in such third Person in an amount equal to the fair market value of the Investments held by the acquired Person in such third Person. Except as otherwise provided in this Agreement, the amount of an Investment will be determined at the time the Investment is made and without giving effect to the subsequent changes in value.</w:t>
      </w:r>
    </w:p>
    <w:p>
      <w:pPr>
        <w:spacing w:after="0" w:line="156"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ISP</w:t>
      </w:r>
      <w:r>
        <w:rPr>
          <w:rFonts w:ascii="Times New Roman" w:cs="Times New Roman" w:eastAsia="Times New Roman" w:hAnsi="Times New Roman"/>
          <w:sz w:val="22"/>
          <w:szCs w:val="22"/>
          <w:color w:val="auto"/>
        </w:rPr>
        <w:t>” means, with respect to any Letter of Credit, the “International Standby Practices” published by the Institute of International Banking Law &amp; Practice, Inc. (or such later version thereof as may be in effect at the time of issuance).</w:t>
      </w:r>
    </w:p>
    <w:p>
      <w:pPr>
        <w:spacing w:after="0" w:line="133"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xml:space="preserve">” means Wells Fargo and each Lender reasonably approved by the Administrative Agent and reasonably satisfactory to, or requested by, the Borrower that agrees to act as an issuer of Letters of Credit hereunder, in each case, in its capacity as the issuer of Letters of Credit hereunder, and its successors in such capacity as provided in </w:t>
      </w:r>
      <w:r>
        <w:rPr>
          <w:rFonts w:ascii="Times New Roman" w:cs="Times New Roman" w:eastAsia="Times New Roman" w:hAnsi="Times New Roman"/>
          <w:sz w:val="22"/>
          <w:szCs w:val="22"/>
          <w:u w:val="single" w:color="auto"/>
          <w:color w:val="auto"/>
        </w:rPr>
        <w:t>Section 2.07(i)</w:t>
      </w:r>
      <w:r>
        <w:rPr>
          <w:rFonts w:ascii="Times New Roman" w:cs="Times New Roman" w:eastAsia="Times New Roman" w:hAnsi="Times New Roman"/>
          <w:sz w:val="22"/>
          <w:szCs w:val="22"/>
          <w:color w:val="auto"/>
        </w:rPr>
        <w:t>, and the term “Issuing Bank” shall mean each such Person individually, or all such Persons collectively, as the context requires. The Issuing Bank may, in its discretion, arrange for one or more Letters of Credit to be issued by Affiliates of the Issuing Bank, in which case the term “Issuing Bank” shall include any such Affiliate with respect to Letters of Credit issued by such Affiliate.</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payment made by the Issuing Bank pursuant to a Letter of Credit.</w:t>
      </w:r>
    </w:p>
    <w:p>
      <w:pPr>
        <w:spacing w:after="0" w:line="179" w:lineRule="exact"/>
        <w:rPr>
          <w:sz w:val="20"/>
          <w:szCs w:val="20"/>
          <w:color w:val="auto"/>
        </w:rPr>
      </w:pPr>
    </w:p>
    <w:p>
      <w:pPr>
        <w:ind w:right="519"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xml:space="preserve">” means, at any time, the sum of (a) the aggregate undrawn amount of all outstanding Letters of Credit at such time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aggregate amount of all LC Disbursements that have not yet been reimbursed by or on behalf of the Borrower at such time. The LC Exposure of any Lender at any time shall be its Applicable Percentage of the total LC Exposure at such time.</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Sublimit</w:t>
      </w:r>
      <w:r>
        <w:rPr>
          <w:rFonts w:ascii="Times New Roman" w:cs="Times New Roman" w:eastAsia="Times New Roman" w:hAnsi="Times New Roman"/>
          <w:sz w:val="22"/>
          <w:szCs w:val="22"/>
          <w:color w:val="auto"/>
        </w:rPr>
        <w:t>” means $10,000,000.00.</w:t>
      </w:r>
    </w:p>
    <w:p>
      <w:pPr>
        <w:spacing w:after="0" w:line="166"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xml:space="preserve">” means the Persons listed on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xml:space="preserve">, any Person that shall have become a party to this Agreement pursuant to an Assignment and Assumption and any Person that shall have executed and delivered an Additional Lender Agreement pursuant to </w:t>
      </w:r>
      <w:r>
        <w:rPr>
          <w:rFonts w:ascii="Times New Roman" w:cs="Times New Roman" w:eastAsia="Times New Roman" w:hAnsi="Times New Roman"/>
          <w:sz w:val="22"/>
          <w:szCs w:val="22"/>
          <w:u w:val="single" w:color="auto"/>
          <w:color w:val="auto"/>
        </w:rPr>
        <w:t>Section 2.06(d)</w:t>
      </w:r>
      <w:r>
        <w:rPr>
          <w:rFonts w:ascii="Times New Roman" w:cs="Times New Roman" w:eastAsia="Times New Roman" w:hAnsi="Times New Roman"/>
          <w:sz w:val="22"/>
          <w:szCs w:val="22"/>
          <w:color w:val="auto"/>
        </w:rPr>
        <w:t>, in each case other than any such Person that ceases to be a party to this Agreement pursuant to an Assignment and Assumption.</w:t>
      </w:r>
    </w:p>
    <w:p>
      <w:pPr>
        <w:spacing w:after="0" w:line="153" w:lineRule="exact"/>
        <w:rPr>
          <w:sz w:val="20"/>
          <w:szCs w:val="20"/>
          <w:color w:val="auto"/>
        </w:rPr>
      </w:pPr>
    </w:p>
    <w:p>
      <w:pPr>
        <w:jc w:val="both"/>
        <w:ind w:right="399" w:firstLine="747"/>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pursuant to this Agreement after the date hereof, in each case as extended or otherwise modified by the Issuing Bank from time to time.</w:t>
      </w:r>
    </w:p>
    <w:p>
      <w:pPr>
        <w:ind w:left="5140"/>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60" w:name="page61"/>
    <w:bookmarkEnd w:id="60"/>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Agreements</w:t>
      </w:r>
      <w:r>
        <w:rPr>
          <w:rFonts w:ascii="Times New Roman" w:cs="Times New Roman" w:eastAsia="Times New Roman" w:hAnsi="Times New Roman"/>
          <w:sz w:val="22"/>
          <w:szCs w:val="22"/>
          <w:color w:val="auto"/>
        </w:rPr>
        <w:t>” means all letter of credit applications and other agreements (including any amendments, modifications or supplements thereto) submitted by the Borrower, or entered into by the Borrower, with the Issuing Bank relating to any Letter of Credit.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Leverage Covenant Default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74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xml:space="preserve">” means any interest in Property securing an obligation owed to, or a claim by, a Person other than the owner of the Property, whether such interest is based on the common law, statute or contract, and whether such obligation or claim is fixed or contingent, and including but not limited to the lien or security interest arising from a mortgage, deed of trust, pledge, security agreement, conditional sale or trust receipt or a lease, consignment, encumbrance or bailment for security purposes, in each case, in the nature of security. The term “Lien” shall include easements, restrictions, servitudes, permits, conditions, covenants, exceptions or reservations for such purposes. For the purposes of this Agreement, the Borrower and its Subsidiaries shall be deemed to be the owners of any Property that they have acquired or hold subject to a conditional sale agreement, or leases under a financing lease or other arrangement pursuant to which title to the Property has been retained by or vested in some other Person in a transaction intended to create a financing. In no event shall an operating lease (as determined in accordance with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be deemed a Lien except to the extent that such operating lease creates a security interest under the Uniform Commercial Code.</w:t>
      </w:r>
    </w:p>
    <w:p>
      <w:pPr>
        <w:spacing w:after="0" w:line="178" w:lineRule="exact"/>
        <w:rPr>
          <w:sz w:val="20"/>
          <w:szCs w:val="20"/>
          <w:color w:val="auto"/>
        </w:rPr>
      </w:pPr>
    </w:p>
    <w:p>
      <w:pPr>
        <w:ind w:right="1659"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xml:space="preserve">” means, at any time, the sum of (a) Unused Availability at such time,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amount of Unrestricted Cash of the Loan Parties at such time.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xml:space="preserve">” means a loan made to the Borrower pursuant to </w:t>
      </w:r>
      <w:r>
        <w:rPr>
          <w:rFonts w:ascii="Times New Roman" w:cs="Times New Roman" w:eastAsia="Times New Roman" w:hAnsi="Times New Roman"/>
          <w:sz w:val="22"/>
          <w:szCs w:val="22"/>
          <w:u w:val="single" w:color="auto"/>
          <w:color w:val="auto"/>
        </w:rPr>
        <w:t>Section 2.01(i)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collectively, this Agreement, the Notes, the Letter of Credit Agreements, the Letters of Credit, the Security Instruments and any fee or engagement letter (including the Fee Letter) entered into between the Borrower or any other Loan Party and the Arranger, the Administrative Agent or any Lender from time to time in respect of the Loans or other extensions of credit under this Agreement.</w:t>
      </w:r>
    </w:p>
    <w:p>
      <w:pPr>
        <w:spacing w:after="0" w:line="177" w:lineRule="exact"/>
        <w:rPr>
          <w:sz w:val="20"/>
          <w:szCs w:val="20"/>
          <w:color w:val="auto"/>
        </w:rPr>
      </w:pPr>
    </w:p>
    <w:p>
      <w:pPr>
        <w:ind w:right="115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 collectively or individually as the context requires, the Borrower and each Guarantor.</w:t>
      </w:r>
    </w:p>
    <w:p>
      <w:pPr>
        <w:spacing w:after="0" w:line="158" w:lineRule="exact"/>
        <w:rPr>
          <w:sz w:val="20"/>
          <w:szCs w:val="20"/>
          <w:color w:val="auto"/>
        </w:rPr>
      </w:pPr>
    </w:p>
    <w:p>
      <w:pPr>
        <w:ind w:right="133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Manufactured (Mobile) Home</w:t>
      </w:r>
      <w:r>
        <w:rPr>
          <w:rFonts w:ascii="Times New Roman" w:cs="Times New Roman" w:eastAsia="Times New Roman" w:hAnsi="Times New Roman"/>
          <w:sz w:val="22"/>
          <w:szCs w:val="22"/>
          <w:color w:val="auto"/>
        </w:rPr>
        <w:t>” has the meaning assigned to such term in the applicable Flood Insurance Regulation.</w:t>
      </w:r>
    </w:p>
    <w:p>
      <w:pPr>
        <w:spacing w:after="0" w:line="158" w:lineRule="exact"/>
        <w:rPr>
          <w:sz w:val="20"/>
          <w:szCs w:val="20"/>
          <w:color w:val="auto"/>
        </w:rPr>
      </w:pPr>
    </w:p>
    <w:p>
      <w:pPr>
        <w:ind w:right="399" w:firstLine="74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Marketing Activities</w:t>
      </w:r>
      <w:r>
        <w:rPr>
          <w:rFonts w:ascii="Times New Roman" w:cs="Times New Roman" w:eastAsia="Times New Roman" w:hAnsi="Times New Roman"/>
          <w:sz w:val="21"/>
          <w:szCs w:val="21"/>
          <w:color w:val="auto"/>
        </w:rPr>
        <w:t>” means the purchase and sale of physical Hydrocarbons except as necessary to acquire and maintain line fill reasonably necessary for the operation of the Gathering Systems.</w:t>
      </w:r>
    </w:p>
    <w:p>
      <w:pPr>
        <w:spacing w:after="0" w:line="135" w:lineRule="exact"/>
        <w:rPr>
          <w:sz w:val="20"/>
          <w:szCs w:val="20"/>
          <w:color w:val="auto"/>
        </w:rPr>
      </w:pPr>
    </w:p>
    <w:p>
      <w:pPr>
        <w:ind w:right="1439" w:firstLine="812"/>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Marketing Agreement</w:t>
      </w:r>
      <w:r>
        <w:rPr>
          <w:rFonts w:ascii="Times New Roman" w:cs="Times New Roman" w:eastAsia="Times New Roman" w:hAnsi="Times New Roman"/>
          <w:sz w:val="22"/>
          <w:szCs w:val="22"/>
          <w:color w:val="auto"/>
        </w:rPr>
        <w:t>” means any agreement entered into by any Relevant Party with respect to any Marketing Activities.</w:t>
      </w:r>
    </w:p>
    <w:p>
      <w:pPr>
        <w:spacing w:after="0" w:line="158" w:lineRule="exact"/>
        <w:rPr>
          <w:sz w:val="20"/>
          <w:szCs w:val="20"/>
          <w:color w:val="auto"/>
        </w:rPr>
      </w:pPr>
    </w:p>
    <w:p>
      <w:pPr>
        <w:ind w:right="399" w:firstLine="747"/>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Marquez Gas Plant</w:t>
      </w:r>
      <w:r>
        <w:rPr>
          <w:rFonts w:ascii="Times New Roman" w:cs="Times New Roman" w:eastAsia="Times New Roman" w:hAnsi="Times New Roman"/>
          <w:sz w:val="22"/>
          <w:szCs w:val="22"/>
          <w:color w:val="auto"/>
        </w:rPr>
        <w:t>” means that certain natural gas processing plant located in Leon County, Texas and owned and operated by PGT.</w:t>
      </w:r>
    </w:p>
    <w:p>
      <w:pPr>
        <w:ind w:left="5140"/>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61" w:name="page62"/>
    <w:bookmarkEnd w:id="61"/>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Acquisition</w:t>
      </w:r>
      <w:r>
        <w:rPr>
          <w:rFonts w:ascii="Times New Roman" w:cs="Times New Roman" w:eastAsia="Times New Roman" w:hAnsi="Times New Roman"/>
          <w:sz w:val="22"/>
          <w:szCs w:val="22"/>
          <w:color w:val="auto"/>
        </w:rPr>
        <w:t>” means any acquisition of Property or series of related acquisitions of Property (including by way of merger or consolidation) that involves the payment of consideration by the Borrower and its Subsidiaries in excess of $10,000,000.</w:t>
      </w:r>
    </w:p>
    <w:p>
      <w:pPr>
        <w:spacing w:after="0" w:line="92"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change in, or material adverse effect on, or a material impairment of (a) the business, assets, operations, or financial condition of the Borrower and its Subsidiaries taken as a whole, (b) the ability of the Borrower, any Restricted Subsidiary or any Guarantor to perform any of its payment obligations or other material obligations under the Loan Documents, (c) the validity or enforceability of any Loan Document, or (d) the rights and remedies of or benefits available to the Administrative Agent, the Issuing Bank and the Lenders under the Loan Documents.</w:t>
      </w:r>
    </w:p>
    <w:p>
      <w:pPr>
        <w:spacing w:after="0" w:line="114"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means, collectively, the Specified Material Contracts, each Material Gathering Contract, and each Material Sales Contract.</w:t>
      </w:r>
    </w:p>
    <w:p>
      <w:pPr>
        <w:spacing w:after="0" w:line="91" w:lineRule="exact"/>
        <w:rPr>
          <w:sz w:val="20"/>
          <w:szCs w:val="20"/>
          <w:color w:val="auto"/>
        </w:rPr>
      </w:pPr>
    </w:p>
    <w:p>
      <w:pPr>
        <w:jc w:val="both"/>
        <w:ind w:right="39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Disposition</w:t>
      </w:r>
      <w:r>
        <w:rPr>
          <w:rFonts w:ascii="Times New Roman" w:cs="Times New Roman" w:eastAsia="Times New Roman" w:hAnsi="Times New Roman"/>
          <w:sz w:val="22"/>
          <w:szCs w:val="22"/>
          <w:color w:val="auto"/>
        </w:rPr>
        <w:t>” means any disposition of Property or series of related dispositions of Properties that yields gross proceeds to any of the Borrower and its Subsidiaries in excess of $10,000,000.</w:t>
      </w:r>
    </w:p>
    <w:p>
      <w:pPr>
        <w:spacing w:after="0" w:line="77"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Gathering Contract</w:t>
      </w:r>
      <w:r>
        <w:rPr>
          <w:rFonts w:ascii="Times New Roman" w:cs="Times New Roman" w:eastAsia="Times New Roman" w:hAnsi="Times New Roman"/>
          <w:sz w:val="22"/>
          <w:szCs w:val="22"/>
          <w:color w:val="auto"/>
        </w:rPr>
        <w:t>” means each gathering, transportation, treating, compression, processing, or similar services contract entered into by a Relevant Party that (a) if a fee-based contract, provides for aggregate payments to such Relevant Party during any twelve (12) -month period in excess of $10,000,000, and (b) if a percentage of proceeds contract, is reasonably anticipated to result in a share of proceeds retained by such Relevant Party for its own account during any such twelve (12)-month period in excess of $10,000,000.</w:t>
      </w:r>
    </w:p>
    <w:p>
      <w:pPr>
        <w:spacing w:after="0" w:line="114"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means, at any time, Indebtedness (other than the Loans and Letters of Credit) or obligations in respect of Hedging Agreements owed by any one or more of the Borrower and any other Relevant Parties in an aggregate outstanding principal amount exceeding $15,000,000 at such time. For purposes of determining Material Indebtedness, the “outstanding principal amount” of the obligations of the Borrower or any other Relevant Party in respect of any Hedging Agreement at any time shall be the Hedging Termination Value thereof at such time.</w:t>
      </w:r>
    </w:p>
    <w:p>
      <w:pPr>
        <w:spacing w:after="0" w:line="114" w:lineRule="exact"/>
        <w:rPr>
          <w:sz w:val="20"/>
          <w:szCs w:val="20"/>
          <w:color w:val="auto"/>
        </w:rPr>
      </w:pPr>
    </w:p>
    <w:p>
      <w:pPr>
        <w:ind w:right="47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Project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the definition of the term “Consolidated EBITDA”.</w:t>
      </w:r>
    </w:p>
    <w:p>
      <w:pPr>
        <w:spacing w:after="0" w:line="77" w:lineRule="exact"/>
        <w:rPr>
          <w:sz w:val="20"/>
          <w:szCs w:val="20"/>
          <w:color w:val="auto"/>
        </w:rPr>
      </w:pPr>
    </w:p>
    <w:p>
      <w:pPr>
        <w:ind w:right="45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Project EBITDA Adjustment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the definition of the term “Consolidated EBITDA”.</w:t>
      </w:r>
    </w:p>
    <w:p>
      <w:pPr>
        <w:spacing w:after="0" w:line="91" w:lineRule="exact"/>
        <w:rPr>
          <w:sz w:val="20"/>
          <w:szCs w:val="20"/>
          <w:color w:val="auto"/>
        </w:rPr>
      </w:pPr>
    </w:p>
    <w:p>
      <w:pPr>
        <w:jc w:val="both"/>
        <w:ind w:right="399" w:firstLine="74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Real Property</w:t>
      </w:r>
      <w:r>
        <w:rPr>
          <w:rFonts w:ascii="Times New Roman" w:cs="Times New Roman" w:eastAsia="Times New Roman" w:hAnsi="Times New Roman"/>
          <w:sz w:val="22"/>
          <w:szCs w:val="22"/>
          <w:color w:val="auto"/>
        </w:rPr>
        <w:t xml:space="preserve">” means (a) all Processing Plants, (b) all real Property owned by any Relevant Party that forms a part of and is material to the ownership or operation of any material Gathering System owned by any Relevant Party, and (c) all other real Property owned by any Relevant Party that, individually, has a book value in excess of $10,000,000 (including the value of accessions and improvements thereon) at any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 the aggregate book value of all real Property owned by the Relevant Parties or any of them that does not constitute “Material Real Property” shall not exceed $25,000,000 (including the value of accessions and improvements thereon) at any time, (ii) leases, easements, Rights of Way and similar Property interests shall be considered owned real Property for purposes of this definition, the definition of “Mortgaged</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233" w:right="1440" w:bottom="1440" w:gutter="0" w:footer="0" w:header="0"/>
        </w:sectPr>
      </w:pPr>
    </w:p>
    <w:bookmarkStart w:id="62" w:name="page63"/>
    <w:bookmarkEnd w:id="62"/>
    <w:p>
      <w:pPr>
        <w:ind w:right="879"/>
        <w:spacing w:after="0" w:line="258" w:lineRule="auto"/>
        <w:rPr>
          <w:sz w:val="20"/>
          <w:szCs w:val="20"/>
          <w:color w:val="auto"/>
        </w:rPr>
      </w:pPr>
      <w:r>
        <w:rPr>
          <w:rFonts w:ascii="Times New Roman" w:cs="Times New Roman" w:eastAsia="Times New Roman" w:hAnsi="Times New Roman"/>
          <w:sz w:val="22"/>
          <w:szCs w:val="22"/>
          <w:color w:val="auto"/>
        </w:rPr>
        <w:t xml:space="preserve">Property” and </w:t>
      </w:r>
      <w:r>
        <w:rPr>
          <w:rFonts w:ascii="Times New Roman" w:cs="Times New Roman" w:eastAsia="Times New Roman" w:hAnsi="Times New Roman"/>
          <w:sz w:val="22"/>
          <w:szCs w:val="22"/>
          <w:u w:val="single" w:color="auto"/>
          <w:color w:val="auto"/>
        </w:rPr>
        <w:t>Section 8.14(b)</w:t>
      </w:r>
      <w:r>
        <w:rPr>
          <w:rFonts w:ascii="Times New Roman" w:cs="Times New Roman" w:eastAsia="Times New Roman" w:hAnsi="Times New Roman"/>
          <w:sz w:val="22"/>
          <w:szCs w:val="22"/>
          <w:color w:val="auto"/>
        </w:rPr>
        <w:t>, and (iii) real Property relating to the same gathering or pipeline system, facility or project shall be aggregated for purposes of the above individual thresholds.</w:t>
      </w:r>
    </w:p>
    <w:p>
      <w:pPr>
        <w:spacing w:after="0" w:line="158"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Sales Contract</w:t>
      </w:r>
      <w:r>
        <w:rPr>
          <w:rFonts w:ascii="Times New Roman" w:cs="Times New Roman" w:eastAsia="Times New Roman" w:hAnsi="Times New Roman"/>
          <w:sz w:val="22"/>
          <w:szCs w:val="22"/>
          <w:color w:val="auto"/>
        </w:rPr>
        <w:t>” means each sales contract entered into by a Relevant Party that provides for aggregate payments to such Relevant Party during any twelve (12)-month period in excess of $10,000,000, after excluding payments over to third parties of their shares of the Hydrocarbon proceeds received under such sales contracts. To the extent, if any, that a Relevant Party enters into any sales contract that requires such Relevant Party to make payments during any twelve (12)-month period in excess of $10,000,000 for Hydrocarbons purchased by such Relevant Party under such contract, such contract will also be a “</w:t>
      </w:r>
      <w:r>
        <w:rPr>
          <w:rFonts w:ascii="Times New Roman" w:cs="Times New Roman" w:eastAsia="Times New Roman" w:hAnsi="Times New Roman"/>
          <w:sz w:val="22"/>
          <w:szCs w:val="22"/>
          <w:u w:val="single" w:color="auto"/>
          <w:color w:val="auto"/>
        </w:rPr>
        <w:t>Material Sales Contract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means March 26, 2030.</w:t>
      </w:r>
    </w:p>
    <w:p>
      <w:pPr>
        <w:spacing w:after="0" w:line="206" w:lineRule="exact"/>
        <w:rPr>
          <w:sz w:val="20"/>
          <w:szCs w:val="20"/>
          <w:color w:val="auto"/>
        </w:rPr>
      </w:pPr>
    </w:p>
    <w:p>
      <w:pPr>
        <w:ind w:right="109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Credit Amount</w:t>
      </w:r>
      <w:r>
        <w:rPr>
          <w:rFonts w:ascii="Times New Roman" w:cs="Times New Roman" w:eastAsia="Times New Roman" w:hAnsi="Times New Roman"/>
          <w:sz w:val="22"/>
          <w:szCs w:val="22"/>
          <w:color w:val="auto"/>
        </w:rPr>
        <w:t>” means, at any time, an amount equal to the total Commitments at such time.</w:t>
      </w:r>
    </w:p>
    <w:p>
      <w:pPr>
        <w:spacing w:after="0" w:line="124" w:lineRule="exact"/>
        <w:rPr>
          <w:sz w:val="20"/>
          <w:szCs w:val="20"/>
          <w:color w:val="auto"/>
        </w:rPr>
      </w:pPr>
    </w:p>
    <w:p>
      <w:pPr>
        <w:jc w:val="both"/>
        <w:ind w:right="399" w:firstLine="747"/>
        <w:spacing w:after="0" w:line="30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Mcf</w:t>
      </w:r>
      <w:r>
        <w:rPr>
          <w:rFonts w:ascii="Times New Roman" w:cs="Times New Roman" w:eastAsia="Times New Roman" w:hAnsi="Times New Roman"/>
          <w:sz w:val="22"/>
          <w:szCs w:val="22"/>
          <w:color w:val="auto"/>
        </w:rPr>
        <w:t>” means 1,000 cubic feet of gas at a base temperature of 60</w:t>
      </w:r>
      <w:r>
        <w:rPr>
          <w:rFonts w:ascii="Arial" w:cs="Arial" w:eastAsia="Arial" w:hAnsi="Arial"/>
          <w:sz w:val="22"/>
          <w:szCs w:val="22"/>
          <w:color w:val="auto"/>
        </w:rPr>
        <w:t>⁰</w:t>
      </w:r>
      <w:r>
        <w:rPr>
          <w:rFonts w:ascii="Times New Roman" w:cs="Times New Roman" w:eastAsia="Times New Roman" w:hAnsi="Times New Roman"/>
          <w:sz w:val="22"/>
          <w:szCs w:val="22"/>
          <w:color w:val="auto"/>
        </w:rPr>
        <w:t xml:space="preserve"> Fahrenheit, and at a pressure base of 14.73 Psia and containing the amount of water vapor present at the point of measurement.</w:t>
      </w:r>
    </w:p>
    <w:p>
      <w:pPr>
        <w:spacing w:after="0" w:line="110"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Midstream Properties</w:t>
      </w:r>
      <w:r>
        <w:rPr>
          <w:rFonts w:ascii="Times New Roman" w:cs="Times New Roman" w:eastAsia="Times New Roman" w:hAnsi="Times New Roman"/>
          <w:sz w:val="22"/>
          <w:szCs w:val="22"/>
          <w:color w:val="auto"/>
        </w:rPr>
        <w:t>” means all tangible and intangible Property used by the Loan Parties in gathering, compressing, treating, processing, fractionating, transporting, distributing and storing Hydrocarbons; including, without limitation, Gathering Systems, Processing Plants, and Deeds and Rights of Way related to each of the foregoing.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MMcf</w:t>
      </w:r>
      <w:r>
        <w:rPr>
          <w:rFonts w:ascii="Times New Roman" w:cs="Times New Roman" w:eastAsia="Times New Roman" w:hAnsi="Times New Roman"/>
          <w:sz w:val="22"/>
          <w:szCs w:val="22"/>
          <w:color w:val="auto"/>
        </w:rPr>
        <w:t>” means 1,000 MCF.</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MMcf/d</w:t>
      </w:r>
      <w:r>
        <w:rPr>
          <w:rFonts w:ascii="Times New Roman" w:cs="Times New Roman" w:eastAsia="Times New Roman" w:hAnsi="Times New Roman"/>
          <w:sz w:val="22"/>
          <w:szCs w:val="22"/>
          <w:color w:val="auto"/>
        </w:rPr>
        <w:t>” means the number of MMcf per calendar day.</w:t>
      </w:r>
    </w:p>
    <w:p>
      <w:pPr>
        <w:spacing w:after="0" w:line="206" w:lineRule="exact"/>
        <w:rPr>
          <w:sz w:val="20"/>
          <w:szCs w:val="20"/>
          <w:color w:val="auto"/>
        </w:rPr>
      </w:pPr>
    </w:p>
    <w:p>
      <w:pPr>
        <w:ind w:right="161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thereto that is a nationally recognized rating agency.</w:t>
      </w:r>
    </w:p>
    <w:p>
      <w:pPr>
        <w:spacing w:after="0" w:line="158"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w:t>
      </w:r>
      <w:r>
        <w:rPr>
          <w:rFonts w:ascii="Times New Roman" w:cs="Times New Roman" w:eastAsia="Times New Roman" w:hAnsi="Times New Roman"/>
          <w:sz w:val="22"/>
          <w:szCs w:val="22"/>
          <w:color w:val="auto"/>
        </w:rPr>
        <w:t>” means each mortgage, deed of trust or any other document creating and evidencing a Lien on real or immovable Property and other Property (including any Midstream Property that constitutes real Property) in favor of the Secured Parties, which shall be in a form reasonably satisfactory to the Administrative Agent, as the same may be amended, modified, supplemented or restated from time to time in accordance with the Loan Documents.</w:t>
      </w:r>
    </w:p>
    <w:p>
      <w:pPr>
        <w:spacing w:after="0" w:line="177" w:lineRule="exact"/>
        <w:rPr>
          <w:sz w:val="20"/>
          <w:szCs w:val="20"/>
          <w:color w:val="auto"/>
        </w:rPr>
      </w:pPr>
    </w:p>
    <w:p>
      <w:pPr>
        <w:ind w:right="117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Mortgaged Property</w:t>
      </w:r>
      <w:r>
        <w:rPr>
          <w:rFonts w:ascii="Times New Roman" w:cs="Times New Roman" w:eastAsia="Times New Roman" w:hAnsi="Times New Roman"/>
          <w:sz w:val="22"/>
          <w:szCs w:val="22"/>
          <w:color w:val="auto"/>
        </w:rPr>
        <w:t>” means any real Property owned by any Loan Party that is subject to a Mortgage.</w:t>
      </w:r>
    </w:p>
    <w:p>
      <w:pPr>
        <w:spacing w:after="0" w:line="158"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National Flood Insurance Program</w:t>
      </w:r>
      <w:r>
        <w:rPr>
          <w:rFonts w:ascii="Times New Roman" w:cs="Times New Roman" w:eastAsia="Times New Roman" w:hAnsi="Times New Roman"/>
          <w:sz w:val="22"/>
          <w:szCs w:val="22"/>
          <w:color w:val="auto"/>
        </w:rPr>
        <w:t>” means the program created by any Governmental Authority of the United States pursuant to the Flood Insurance Regulations, that mandates the purchase of flood insurance to cover real Property improvements located in Special Flood Hazard Areas in participating communities and provides protection to Property owners through a federal insurance program.</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Natural Person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12.04(b)(iv)</w:t>
      </w:r>
      <w:r>
        <w:rPr>
          <w:rFonts w:ascii="Times New Roman" w:cs="Times New Roman" w:eastAsia="Times New Roman" w:hAnsi="Times New Roman"/>
          <w:sz w:val="22"/>
          <w:szCs w:val="22"/>
          <w:color w:val="auto"/>
        </w:rPr>
        <w:t>.</w:t>
      </w:r>
    </w:p>
    <w:p>
      <w:pPr>
        <w:spacing w:after="0" w:line="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63" w:name="page64"/>
    <w:bookmarkEnd w:id="63"/>
    <w:p>
      <w:pPr>
        <w:jc w:val="both"/>
        <w:ind w:right="399" w:firstLine="74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Cash Proceeds</w:t>
      </w:r>
      <w:r>
        <w:rPr>
          <w:rFonts w:ascii="Times New Roman" w:cs="Times New Roman" w:eastAsia="Times New Roman" w:hAnsi="Times New Roman"/>
          <w:sz w:val="21"/>
          <w:szCs w:val="21"/>
          <w:color w:val="auto"/>
        </w:rPr>
        <w:t xml:space="preserve">” means for any Recovery Event requiring a reduction of the total Commitments and/or a repayment of Loans pursuant to </w:t>
      </w:r>
      <w:r>
        <w:rPr>
          <w:rFonts w:ascii="Times New Roman" w:cs="Times New Roman" w:eastAsia="Times New Roman" w:hAnsi="Times New Roman"/>
          <w:sz w:val="21"/>
          <w:szCs w:val="21"/>
          <w:u w:val="single" w:color="auto"/>
          <w:color w:val="auto"/>
        </w:rPr>
        <w:t>Section 3.04(b)(iii)</w:t>
      </w:r>
      <w:r>
        <w:rPr>
          <w:rFonts w:ascii="Times New Roman" w:cs="Times New Roman" w:eastAsia="Times New Roman" w:hAnsi="Times New Roman"/>
          <w:sz w:val="21"/>
          <w:szCs w:val="21"/>
          <w:color w:val="auto"/>
        </w:rPr>
        <w:t>, the gross cash proceeds (including any such proceeds received by way of deferred payment of principal pursuant to a note or installment receivable or purchase price adjustment receivable or otherwise, but only as and when received) from such Recovery Event, net of out-of-pocket attorneys’ fees, accountants’ fees, amounts required to be applied to the repayment of Indebtedness secured by a Lien expressly permitted hereunder on any Property that is the subject of such Recovery Event (other than any Lien pursuant to a Security Instrument) and other customary out-of-pocket fees, costs and expenses actually incurred in connection therewith and paid to non-Affiliates, and net of taxes paid or reasonably estimated to be payable as a result thereof (after taking into account any available tax credits or deductions and any tax sharing arrangements).</w:t>
      </w:r>
    </w:p>
    <w:p>
      <w:pPr>
        <w:spacing w:after="0" w:line="103" w:lineRule="exact"/>
        <w:rPr>
          <w:sz w:val="20"/>
          <w:szCs w:val="20"/>
          <w:color w:val="auto"/>
        </w:rPr>
      </w:pPr>
    </w:p>
    <w:p>
      <w:pPr>
        <w:jc w:val="both"/>
        <w:ind w:right="399"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Debt Proceeds</w:t>
      </w:r>
      <w:r>
        <w:rPr>
          <w:rFonts w:ascii="Times New Roman" w:cs="Times New Roman" w:eastAsia="Times New Roman" w:hAnsi="Times New Roman"/>
          <w:sz w:val="22"/>
          <w:szCs w:val="22"/>
          <w:color w:val="auto"/>
        </w:rPr>
        <w:t xml:space="preserve">” means for any issuance of Indebtedness requiring a repayment of Loans pursuant to </w:t>
      </w:r>
      <w:r>
        <w:rPr>
          <w:rFonts w:ascii="Times New Roman" w:cs="Times New Roman" w:eastAsia="Times New Roman" w:hAnsi="Times New Roman"/>
          <w:sz w:val="22"/>
          <w:szCs w:val="22"/>
          <w:u w:val="single" w:color="auto"/>
          <w:color w:val="auto"/>
        </w:rPr>
        <w:t>Section 3.04(b)(iv)</w:t>
      </w:r>
      <w:r>
        <w:rPr>
          <w:rFonts w:ascii="Times New Roman" w:cs="Times New Roman" w:eastAsia="Times New Roman" w:hAnsi="Times New Roman"/>
          <w:sz w:val="22"/>
          <w:szCs w:val="22"/>
          <w:color w:val="auto"/>
        </w:rPr>
        <w:t>, the gross cash proceeds from such issuance of Indebtedness, net of out-of-pocket attorneys’ fees, accountants’ fees and other customary out-of-pocket fees and expenses actually incurred and paid in cash in connection therewith and paid to non-Affiliates.</w:t>
      </w:r>
    </w:p>
    <w:p>
      <w:pPr>
        <w:spacing w:after="0" w:line="113" w:lineRule="exact"/>
        <w:rPr>
          <w:sz w:val="20"/>
          <w:szCs w:val="20"/>
          <w:color w:val="auto"/>
        </w:rPr>
      </w:pPr>
    </w:p>
    <w:p>
      <w:pPr>
        <w:jc w:val="both"/>
        <w:ind w:right="399" w:firstLine="74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Equity Proceeds</w:t>
      </w:r>
      <w:r>
        <w:rPr>
          <w:rFonts w:ascii="Times New Roman" w:cs="Times New Roman" w:eastAsia="Times New Roman" w:hAnsi="Times New Roman"/>
          <w:sz w:val="21"/>
          <w:szCs w:val="21"/>
          <w:color w:val="auto"/>
        </w:rPr>
        <w:t>” means for any issuance of Equity Interests of or capital contribution to the Borrower, (x) the gross cash proceeds from such issuance of Equity Interests or capital contribution, net of</w:t>
      </w:r>
    </w:p>
    <w:p>
      <w:pPr>
        <w:spacing w:after="0" w:line="1" w:lineRule="exact"/>
        <w:rPr>
          <w:sz w:val="20"/>
          <w:szCs w:val="20"/>
          <w:color w:val="auto"/>
        </w:rPr>
      </w:pPr>
    </w:p>
    <w:p>
      <w:pPr>
        <w:ind w:right="399" w:firstLine="2"/>
        <w:spacing w:after="0" w:line="237" w:lineRule="auto"/>
        <w:tabs>
          <w:tab w:leader="none" w:pos="32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attorneys’ fees, accountants’ fees and other customary fees and expenses actually incurred and paid in cash in connection therewith.</w:t>
      </w:r>
    </w:p>
    <w:p>
      <w:pPr>
        <w:spacing w:after="0" w:line="97" w:lineRule="exact"/>
        <w:rPr>
          <w:sz w:val="20"/>
          <w:szCs w:val="20"/>
          <w:color w:val="auto"/>
        </w:rPr>
      </w:pPr>
    </w:p>
    <w:p>
      <w:pPr>
        <w:jc w:val="both"/>
        <w:ind w:right="399" w:firstLine="749"/>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Sale Proceeds</w:t>
      </w:r>
      <w:r>
        <w:rPr>
          <w:rFonts w:ascii="Times New Roman" w:cs="Times New Roman" w:eastAsia="Times New Roman" w:hAnsi="Times New Roman"/>
          <w:sz w:val="21"/>
          <w:szCs w:val="21"/>
          <w:color w:val="auto"/>
        </w:rPr>
        <w:t xml:space="preserve">” means for any sale or other disposition of Property pursuant to an Disposition, the gross cash proceeds (including any cash received by way of deferred payment pursuant to a promissory note, receivable or otherwise, but only as and when received) received from such Disposition, net of (a) reasonable out-of-pocket transaction costs (including, without limitation, any underwriting, brokerage or other customary selling commissions, reasonable legal, advisory and other fees, costs and expenses (including title and recording expenses), associated therewith and paid to non-Affiliates and sales, VAT and transfer taxes arising therefrom), (b) the amount of such gross cash proceeds required to be used to permanently repay any Indebtedness (other than the Secured Obligations), including any principal, interest, or reasonable repayment or prepayment premium or reasonable penalty required in connection with such prepayment, that is permitted hereunder and that is secured by the respective Property that was sold or otherwise disposed of, (c) the estimated income taxes and franchise taxes that would be payable with respect to the taxable year of sale or other disposition by any Relevant Party (assuming such Relevant Party is paying federal, state and local taxes at the rates used to calculate Permitted Tax Distributions and taking into account the cumulative net losses, if any, described in the definition of Permitted Tax Distributions and eligible to offset such income) as a result of such sale or other disposition, and(d) the amount of all reserves required to be maintained by any Relevant Party in accordance with GAAP and all purchase price hold-backs or escrows for any potential indemnity obligations that may be required to be made by such Relevant Party as a result of such Disposition;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(i) that such gross proceeds shall not include any portion of such gross cash proceeds that any Relevant Party determines in good faith should be reserved for post-closing adjustments (which shall be certified by such Relevant Party to the Administrative Agent upon its request), it being understood and agreed that on the day that all such post-closing adjustments have been determined, the amount (if any) by which the reserved amount in respect of such Disposition exceeds the actual post-closing adjustments payable by such Relevant Party shall constitute Net</w:t>
      </w:r>
    </w:p>
    <w:p>
      <w:pPr>
        <w:spacing w:after="0" w:line="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64" w:name="page65"/>
    <w:bookmarkEnd w:id="64"/>
    <w:p>
      <w:pPr>
        <w:jc w:val="both"/>
        <w:ind w:right="399"/>
        <w:spacing w:after="0" w:line="236" w:lineRule="auto"/>
        <w:rPr>
          <w:sz w:val="20"/>
          <w:szCs w:val="20"/>
          <w:color w:val="auto"/>
        </w:rPr>
      </w:pPr>
      <w:r>
        <w:rPr>
          <w:rFonts w:ascii="Times New Roman" w:cs="Times New Roman" w:eastAsia="Times New Roman" w:hAnsi="Times New Roman"/>
          <w:sz w:val="22"/>
          <w:szCs w:val="22"/>
          <w:color w:val="auto"/>
        </w:rPr>
        <w:t>Sale Proceeds on such date received by such Relevant Party from such Disposition, and (ii) at such time as the Relevant Parties are no longer required to maintain any indemnity reserves in accordance with GAAP or any purchase price hold-back or escrow as a result of any Disposition, the amount (if any) by which such reserved amount in respect of such Disposition exceeds the actual amount of indemnity payments made by any Relevant Party for which such reserves were required to be maintained in respect of such Disposition shall constitute Net Sale Proceeds at such time.</w:t>
      </w:r>
    </w:p>
    <w:p>
      <w:pPr>
        <w:spacing w:after="0" w:line="181"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xml:space="preserve">” means any Lender that does not approve any consent, waiver or amendment that (a) requires the approval of all or all affected Lenders in accordance with the terms of </w:t>
      </w:r>
      <w:r>
        <w:rPr>
          <w:rFonts w:ascii="Times New Roman" w:cs="Times New Roman" w:eastAsia="Times New Roman" w:hAnsi="Times New Roman"/>
          <w:sz w:val="22"/>
          <w:szCs w:val="22"/>
          <w:u w:val="single" w:color="auto"/>
          <w:color w:val="auto"/>
        </w:rPr>
        <w:t>Section 12.02(b)</w:t>
      </w:r>
      <w:r>
        <w:rPr>
          <w:rFonts w:ascii="Times New Roman" w:cs="Times New Roman" w:eastAsia="Times New Roman" w:hAnsi="Times New Roman"/>
          <w:sz w:val="22"/>
          <w:szCs w:val="22"/>
          <w:color w:val="auto"/>
        </w:rPr>
        <w:t>, and (b) has been approved by the Required Lenders.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Non-Recourse Debt</w:t>
      </w:r>
      <w:r>
        <w:rPr>
          <w:rFonts w:ascii="Times New Roman" w:cs="Times New Roman" w:eastAsia="Times New Roman" w:hAnsi="Times New Roman"/>
          <w:sz w:val="22"/>
          <w:szCs w:val="22"/>
          <w:color w:val="auto"/>
        </w:rPr>
        <w:t>” means Indebtedness:</w:t>
      </w:r>
    </w:p>
    <w:p>
      <w:pPr>
        <w:spacing w:after="0" w:line="206" w:lineRule="exact"/>
        <w:rPr>
          <w:sz w:val="20"/>
          <w:szCs w:val="20"/>
          <w:color w:val="auto"/>
        </w:rPr>
      </w:pPr>
    </w:p>
    <w:p>
      <w:pPr>
        <w:ind w:left="1960" w:hanging="745"/>
        <w:spacing w:after="0"/>
        <w:tabs>
          <w:tab w:leader="none" w:pos="196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neither the Borrower nor any of its Restricted Subsidiaries</w:t>
      </w:r>
    </w:p>
    <w:p>
      <w:pPr>
        <w:spacing w:after="0" w:line="14" w:lineRule="exact"/>
        <w:rPr>
          <w:rFonts w:ascii="Times New Roman" w:cs="Times New Roman" w:eastAsia="Times New Roman" w:hAnsi="Times New Roman"/>
          <w:sz w:val="22"/>
          <w:szCs w:val="22"/>
          <w:color w:val="auto"/>
        </w:rPr>
      </w:pPr>
    </w:p>
    <w:p>
      <w:pPr>
        <w:jc w:val="both"/>
        <w:ind w:left="480" w:right="399" w:hanging="9"/>
        <w:spacing w:after="0" w:line="235" w:lineRule="auto"/>
        <w:tabs>
          <w:tab w:leader="none" w:pos="73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credit support of any kind (including any undertaking, agreement or instrument that would constitute Indebtedness), (ii) is directly or indirectly liable as a guarantor or otherwise, or (iii) constitutes the lender, holder or provider thereof;</w:t>
      </w:r>
    </w:p>
    <w:p>
      <w:pPr>
        <w:spacing w:after="0" w:line="177" w:lineRule="exact"/>
        <w:rPr>
          <w:rFonts w:ascii="Times New Roman" w:cs="Times New Roman" w:eastAsia="Times New Roman" w:hAnsi="Times New Roman"/>
          <w:sz w:val="22"/>
          <w:szCs w:val="22"/>
          <w:color w:val="auto"/>
        </w:rPr>
      </w:pPr>
    </w:p>
    <w:p>
      <w:pPr>
        <w:jc w:val="both"/>
        <w:ind w:left="460" w:right="399" w:firstLine="755"/>
        <w:spacing w:after="0" w:line="238" w:lineRule="auto"/>
        <w:tabs>
          <w:tab w:leader="none" w:pos="1593"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with respect to which (including any rights that the holders thereof may have to take enforcement action against an Unrestricted Subsidiary) would permit upon notice, lapse of time or both any holder of any other Indebtedness of the Borrower or any of its Restricted Subsidiaries to declare a default on such other Indebtedness or cause the payment thereof to be accelerated or payable prior to its stated maturity; and</w:t>
      </w:r>
    </w:p>
    <w:p>
      <w:pPr>
        <w:spacing w:after="0" w:line="176" w:lineRule="exact"/>
        <w:rPr>
          <w:rFonts w:ascii="Times New Roman" w:cs="Times New Roman" w:eastAsia="Times New Roman" w:hAnsi="Times New Roman"/>
          <w:sz w:val="22"/>
          <w:szCs w:val="22"/>
          <w:color w:val="auto"/>
        </w:rPr>
      </w:pPr>
    </w:p>
    <w:p>
      <w:pPr>
        <w:ind w:left="460" w:right="399" w:firstLine="755"/>
        <w:spacing w:after="0" w:line="258" w:lineRule="auto"/>
        <w:tabs>
          <w:tab w:leader="none" w:pos="1593"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 Lenders have been notified in writing that they will not have any recourse to the stock or assets of the Borrower or any of its Restricted Subsidiaries.</w:t>
      </w:r>
    </w:p>
    <w:p>
      <w:pPr>
        <w:spacing w:after="0" w:line="158"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xml:space="preserve">” means the promissory notes of the Borrower described in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xml:space="preserve"> and being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together with all amendments, modifications, replacements, extensions and rearrangements thereof.</w:t>
      </w:r>
    </w:p>
    <w:p>
      <w:pPr>
        <w:spacing w:after="0" w:line="173" w:lineRule="exact"/>
        <w:rPr>
          <w:sz w:val="20"/>
          <w:szCs w:val="20"/>
          <w:color w:val="auto"/>
        </w:rPr>
      </w:pPr>
    </w:p>
    <w:p>
      <w:pPr>
        <w:ind w:right="133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United States Department of the Treasury or any successor thereto.</w:t>
      </w:r>
    </w:p>
    <w:p>
      <w:pPr>
        <w:spacing w:after="0" w:line="158" w:lineRule="exact"/>
        <w:rPr>
          <w:sz w:val="20"/>
          <w:szCs w:val="20"/>
          <w:color w:val="auto"/>
        </w:rPr>
      </w:pPr>
    </w:p>
    <w:p>
      <w:pPr>
        <w:jc w:val="both"/>
        <w:ind w:right="399" w:firstLine="810"/>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 Documents</w:t>
      </w:r>
      <w:r>
        <w:rPr>
          <w:rFonts w:ascii="Times New Roman" w:cs="Times New Roman" w:eastAsia="Times New Roman" w:hAnsi="Times New Roman"/>
          <w:sz w:val="22"/>
          <w:szCs w:val="22"/>
          <w:color w:val="auto"/>
        </w:rPr>
        <w:t>” means, (a) with respect to any corporation, the certificate or articles of incorporation and the bylaws (or equivalent or comparable constitutive documents with respect to any non-United States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in each case as any such organization documents are amended, restated, supplemented or otherwise modified from time to time in accordance with this Agreement.</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65" w:name="page66"/>
    <w:bookmarkEnd w:id="65"/>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00"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2"/>
          <w:szCs w:val="22"/>
          <w:u w:val="single" w:color="auto"/>
          <w:color w:val="auto"/>
        </w:rPr>
        <w:t>Section 5.04(b)</w:t>
      </w:r>
      <w:r>
        <w:rPr>
          <w:rFonts w:ascii="Times New Roman" w:cs="Times New Roman" w:eastAsia="Times New Roman" w:hAnsi="Times New Roman"/>
          <w:sz w:val="22"/>
          <w:szCs w:val="22"/>
          <w:color w:val="auto"/>
        </w:rPr>
        <w:t>).</w:t>
      </w:r>
    </w:p>
    <w:p>
      <w:pPr>
        <w:spacing w:after="0" w:line="109"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Outbound Investment Rules</w:t>
      </w:r>
      <w:r>
        <w:rPr>
          <w:rFonts w:ascii="Times New Roman" w:cs="Times New Roman" w:eastAsia="Times New Roman" w:hAnsi="Times New Roman"/>
          <w:sz w:val="22"/>
          <w:szCs w:val="22"/>
          <w:color w:val="auto"/>
        </w:rPr>
        <w:t>” means the regulations administered and enforced, together with any related public guidance issued, by the United States Treasury Department under U.S. Executive Order 14105 of August 9, 2023, or any similar law or regulation, and as codified at 31 C.F.R. § 850.101 et seq.</w:t>
      </w:r>
    </w:p>
    <w:p>
      <w:pPr>
        <w:spacing w:after="0" w:line="106"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Rate</w:t>
      </w:r>
      <w:r>
        <w:rPr>
          <w:rFonts w:ascii="Times New Roman" w:cs="Times New Roman" w:eastAsia="Times New Roman" w:hAnsi="Times New Roman"/>
          <w:sz w:val="22"/>
          <w:szCs w:val="22"/>
          <w:color w:val="auto"/>
        </w:rPr>
        <w:t>” means, for any day, the greater of (a) the Federal Funds Effective Rate and (b) an overnight rate determined by the Administrative Agent in accordance with and customary with banking industry rules on interbank compensation.</w:t>
      </w:r>
    </w:p>
    <w:p>
      <w:pPr>
        <w:spacing w:after="0" w:line="92"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Pledge Agreement</w:t>
      </w:r>
      <w:r>
        <w:rPr>
          <w:rFonts w:ascii="Times New Roman" w:cs="Times New Roman" w:eastAsia="Times New Roman" w:hAnsi="Times New Roman"/>
          <w:sz w:val="22"/>
          <w:szCs w:val="22"/>
          <w:color w:val="auto"/>
        </w:rPr>
        <w:t>” means a pledge agreement, in form and substance reasonably acceptable to the Administrative Agent, pursuant to which each direct owner of Equity Interests in the Borrower (other than the Pinnacle Preferred Equity Interests) will pledge, on a non-recourse basis, such Equity Interests as Collateral to the Administrative Agent for the benefit of the Secured Parties to secure the Secured Obligations, as such pledge agreement may be amended, restated, amended and restated, replaced, supplemented or otherwise modified from time to time.</w:t>
      </w:r>
    </w:p>
    <w:p>
      <w:pPr>
        <w:spacing w:after="0" w:line="114"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Pledgor</w:t>
      </w:r>
      <w:r>
        <w:rPr>
          <w:rFonts w:ascii="Times New Roman" w:cs="Times New Roman" w:eastAsia="Times New Roman" w:hAnsi="Times New Roman"/>
          <w:sz w:val="22"/>
          <w:szCs w:val="22"/>
          <w:color w:val="auto"/>
        </w:rPr>
        <w:t>” means each direct owner of Equity Interests in the Borrower (other than, for the avoidance of doubt, the Pinnacle Preferred Equity Interests) that is party to the Parent Pledge Agreement.</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12.04(d)(i)</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12.04(d)(iii)</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means the USA PATRIOT Act (Title III of Pub. L. 107-56 (signed into law October 26, 2001)).</w:t>
      </w:r>
    </w:p>
    <w:p>
      <w:pPr>
        <w:spacing w:after="0" w:line="91"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in Full</w:t>
      </w:r>
      <w:r>
        <w:rPr>
          <w:rFonts w:ascii="Times New Roman" w:cs="Times New Roman" w:eastAsia="Times New Roman" w:hAnsi="Times New Roman"/>
          <w:sz w:val="22"/>
          <w:szCs w:val="22"/>
          <w:color w:val="auto"/>
        </w:rPr>
        <w:t>” means, with respect to the Secured Obligations, the time at which (a) the Commitments shall have been terminated, (b) the Administrative Agent, the Issuing Bank and the Lenders shall not have any Secured Obligations, Loans, LC Disbursements, fees or other amounts payable to any of them under the Loan Documents (other than contingent indemnification obligations and other provisions under the Loan Documents that by their terms expressly survive payment of the Secured Obligations and termination of the Loan Documents) unpaid, unsatisfied or outstanding, there shall not be any Letters of Credit outstanding that have not been Cash</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233" w:right="1440" w:bottom="1440" w:gutter="0" w:footer="0" w:header="0"/>
        </w:sectPr>
      </w:pPr>
    </w:p>
    <w:bookmarkStart w:id="66" w:name="page67"/>
    <w:bookmarkEnd w:id="66"/>
    <w:p>
      <w:pPr>
        <w:ind w:right="399"/>
        <w:spacing w:after="0" w:line="241" w:lineRule="auto"/>
        <w:rPr>
          <w:sz w:val="20"/>
          <w:szCs w:val="20"/>
          <w:color w:val="auto"/>
        </w:rPr>
      </w:pPr>
      <w:r>
        <w:rPr>
          <w:rFonts w:ascii="Times New Roman" w:cs="Times New Roman" w:eastAsia="Times New Roman" w:hAnsi="Times New Roman"/>
          <w:sz w:val="22"/>
          <w:szCs w:val="22"/>
          <w:color w:val="auto"/>
        </w:rPr>
        <w:t>Collateralized in accordance with the terms hereof or had other arrangements made with respect thereto that are satisfactory to the Issuing Bank and communicated to the Administrative Agent,</w:t>
      </w:r>
    </w:p>
    <w:p>
      <w:pPr>
        <w:spacing w:after="0" w:line="2" w:lineRule="exact"/>
        <w:rPr>
          <w:sz w:val="20"/>
          <w:szCs w:val="20"/>
          <w:color w:val="auto"/>
        </w:rPr>
      </w:pPr>
    </w:p>
    <w:p>
      <w:pPr>
        <w:jc w:val="both"/>
        <w:ind w:right="399" w:firstLine="2"/>
        <w:spacing w:after="0" w:line="232" w:lineRule="auto"/>
        <w:tabs>
          <w:tab w:leader="none" w:pos="3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Secured Hedging Agreement Counterparty has received payment of all amounts, if any, payable to it that are then due and owing, or other arrangements satisfactory to each Secured Hedging Agreement Counterparty have been made with respect to any Secured Hedging Agreement, and (d) each Treasury Management Counterparty has received payment of all amounts, if any, payable to it that are then due and owing, or other arrangements satisfactory to each Treasury Management Counterparty have been made with respect to any Treasury Management Agreement.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xml:space="preserve">” has the meaning assigned thereto in </w:t>
      </w:r>
      <w:r>
        <w:rPr>
          <w:rFonts w:ascii="Times New Roman" w:cs="Times New Roman" w:eastAsia="Times New Roman" w:hAnsi="Times New Roman"/>
          <w:sz w:val="22"/>
          <w:szCs w:val="22"/>
          <w:u w:val="single" w:color="auto"/>
          <w:color w:val="auto"/>
        </w:rPr>
        <w:t>Section 11.10(a)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or any successor thereto.</w:t>
      </w:r>
    </w:p>
    <w:p>
      <w:pPr>
        <w:spacing w:after="0" w:line="2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w:t>
      </w:r>
      <w:r>
        <w:rPr>
          <w:rFonts w:ascii="Times New Roman" w:cs="Times New Roman" w:eastAsia="Times New Roman" w:hAnsi="Times New Roman"/>
          <w:sz w:val="22"/>
          <w:szCs w:val="22"/>
          <w:color w:val="auto"/>
        </w:rPr>
        <w:t xml:space="preserve">” means any Lien permitted under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Marketing Activities</w:t>
      </w:r>
      <w:r>
        <w:rPr>
          <w:rFonts w:ascii="Times New Roman" w:cs="Times New Roman" w:eastAsia="Times New Roman" w:hAnsi="Times New Roman"/>
          <w:sz w:val="22"/>
          <w:szCs w:val="22"/>
          <w:color w:val="auto"/>
        </w:rPr>
        <w:t>” means Marketing Activities that:</w:t>
      </w:r>
    </w:p>
    <w:p>
      <w:pPr>
        <w:spacing w:after="0" w:line="206" w:lineRule="exact"/>
        <w:rPr>
          <w:sz w:val="20"/>
          <w:szCs w:val="20"/>
          <w:color w:val="auto"/>
        </w:rPr>
      </w:pPr>
    </w:p>
    <w:p>
      <w:pPr>
        <w:ind w:left="1960" w:hanging="745"/>
        <w:spacing w:after="0"/>
        <w:tabs>
          <w:tab w:leader="none" w:pos="19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entered into in the ordinary course of business of the Relevant Parties;</w:t>
      </w:r>
    </w:p>
    <w:p>
      <w:pPr>
        <w:spacing w:after="0" w:line="206" w:lineRule="exact"/>
        <w:rPr>
          <w:rFonts w:ascii="Times New Roman" w:cs="Times New Roman" w:eastAsia="Times New Roman" w:hAnsi="Times New Roman"/>
          <w:sz w:val="22"/>
          <w:szCs w:val="22"/>
          <w:color w:val="auto"/>
        </w:rPr>
      </w:pPr>
    </w:p>
    <w:p>
      <w:pPr>
        <w:ind w:left="460" w:right="399" w:firstLine="755"/>
        <w:spacing w:after="0" w:line="258" w:lineRule="auto"/>
        <w:tabs>
          <w:tab w:leader="none" w:pos="159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for natural gas to be gathered and/or transported on the Gathering Systems and are not for speculative purposes; and</w:t>
      </w:r>
    </w:p>
    <w:p>
      <w:pPr>
        <w:spacing w:after="0" w:line="158" w:lineRule="exact"/>
        <w:rPr>
          <w:rFonts w:ascii="Times New Roman" w:cs="Times New Roman" w:eastAsia="Times New Roman" w:hAnsi="Times New Roman"/>
          <w:sz w:val="22"/>
          <w:szCs w:val="22"/>
          <w:color w:val="auto"/>
        </w:rPr>
      </w:pPr>
    </w:p>
    <w:p>
      <w:pPr>
        <w:ind w:left="460" w:right="399" w:firstLine="755"/>
        <w:spacing w:after="0" w:line="258" w:lineRule="auto"/>
        <w:tabs>
          <w:tab w:leader="none" w:pos="159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pricing terms that provide for a floating price based on the Henry Hub natural gas index rather than a fixed price.</w:t>
      </w:r>
    </w:p>
    <w:p>
      <w:pPr>
        <w:spacing w:after="0" w:line="158"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Tax Distributions</w:t>
      </w:r>
      <w:r>
        <w:rPr>
          <w:rFonts w:ascii="Times New Roman" w:cs="Times New Roman" w:eastAsia="Times New Roman" w:hAnsi="Times New Roman"/>
          <w:sz w:val="22"/>
          <w:szCs w:val="22"/>
          <w:color w:val="auto"/>
        </w:rPr>
        <w:t>” means, for any applicable tax year of the Borrower, tax distributions to the holders of the Equity Interests in the Borrower (which may be further distributed to Borrower’s indirect equity owners) in an aggregate amount equal to the product of</w:t>
      </w:r>
    </w:p>
    <w:p>
      <w:pPr>
        <w:jc w:val="both"/>
        <w:ind w:right="399" w:firstLine="2"/>
        <w:spacing w:after="0" w:line="230" w:lineRule="auto"/>
        <w:tabs>
          <w:tab w:leader="none" w:pos="2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net income of the Borrower for federal and state income tax purposes for such applicable tax year, to the extent such income is in excess of the cumulative net loss of the Borrower for federal, state and local income tax purposes for all prior tax years to the extent such cumulative net loss is eligible to offset such income,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the combined maximum federal and applicable state and local income tax rates (including Taxes imposed under Section 1411 of the Internal Revenue Code) applicable to any individual residing in the State of Nevada or State of Texas for such taxable year, taking into account the deduction of state and local income taxes for</w:t>
      </w:r>
    </w:p>
    <w:p>
      <w:pPr>
        <w:spacing w:after="0" w:line="3" w:lineRule="exact"/>
        <w:rPr>
          <w:rFonts w:ascii="Times New Roman" w:cs="Times New Roman" w:eastAsia="Times New Roman" w:hAnsi="Times New Roman"/>
          <w:sz w:val="22"/>
          <w:szCs w:val="22"/>
          <w:color w:val="auto"/>
        </w:rPr>
      </w:pPr>
    </w:p>
    <w:p>
      <w:pPr>
        <w:jc w:val="both"/>
        <w:ind w:right="399"/>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U.S. federal income tax purposes (subject to applicable limitations) and whether any portion of such taxable income qualifies for reduced rates applicable to long term capital gains. Permitted Tax Distributions may be made quarterly, based on the Borrower’s estimated taxable income for each such quarterly period, and annually, based on the Borrower’s annual federal income tax filing;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aggregate quarterly estimates for any tax year exceed the actual annual amount for such tax year, such excess shall be deducted from the next quarterly distribution(s) to occur after such annual federal income tax filing, and if the aggregate quarterly estimates for any tax year is less than the actual annual amount for such tax year, such deficit may be distributed to the members of the Borrower as a Permitted Tax Distribution.</w:t>
      </w:r>
    </w:p>
    <w:p>
      <w:pPr>
        <w:spacing w:after="0" w:line="180" w:lineRule="exact"/>
        <w:rPr>
          <w:sz w:val="20"/>
          <w:szCs w:val="20"/>
          <w:color w:val="auto"/>
        </w:rPr>
      </w:pPr>
    </w:p>
    <w:p>
      <w:pPr>
        <w:ind w:right="1519" w:firstLine="749"/>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ind w:left="5140"/>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67" w:name="page68"/>
    <w:bookmarkEnd w:id="67"/>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PGS LLC Agreement</w:t>
      </w:r>
      <w:r>
        <w:rPr>
          <w:rFonts w:ascii="Times New Roman" w:cs="Times New Roman" w:eastAsia="Times New Roman" w:hAnsi="Times New Roman"/>
          <w:sz w:val="22"/>
          <w:szCs w:val="22"/>
          <w:color w:val="auto"/>
        </w:rPr>
        <w:t>” means that certain Amended and Restated Limited Liability Company Agreement of the Borrower, dated as of October 30, 2023, as in effect on the Effective Date.</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PGT</w:t>
      </w:r>
      <w:r>
        <w:rPr>
          <w:rFonts w:ascii="Times New Roman" w:cs="Times New Roman" w:eastAsia="Times New Roman" w:hAnsi="Times New Roman"/>
          <w:sz w:val="22"/>
          <w:szCs w:val="22"/>
          <w:color w:val="auto"/>
        </w:rPr>
        <w:t>” means Pinnacle Gas Treating LLC, a Texas limited liability company.</w:t>
      </w:r>
    </w:p>
    <w:p>
      <w:pPr>
        <w:spacing w:after="0" w:line="139" w:lineRule="exact"/>
        <w:rPr>
          <w:sz w:val="20"/>
          <w:szCs w:val="20"/>
          <w:color w:val="auto"/>
        </w:rPr>
      </w:pPr>
    </w:p>
    <w:p>
      <w:pPr>
        <w:ind w:right="75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Pinnacle Plant</w:t>
      </w:r>
      <w:r>
        <w:rPr>
          <w:rFonts w:ascii="Times New Roman" w:cs="Times New Roman" w:eastAsia="Times New Roman" w:hAnsi="Times New Roman"/>
          <w:sz w:val="22"/>
          <w:szCs w:val="22"/>
          <w:color w:val="auto"/>
        </w:rPr>
        <w:t>” means each of (a) the Bethel Gas Plant, (b) the Marquez Gas Plant and (c) any other Processing Plant of a Loan Party.</w:t>
      </w:r>
    </w:p>
    <w:p>
      <w:pPr>
        <w:spacing w:after="0" w:line="77"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Pinnacle Preferred Equity Interests</w:t>
      </w:r>
      <w:r>
        <w:rPr>
          <w:rFonts w:ascii="Times New Roman" w:cs="Times New Roman" w:eastAsia="Times New Roman" w:hAnsi="Times New Roman"/>
          <w:sz w:val="22"/>
          <w:szCs w:val="22"/>
          <w:color w:val="auto"/>
        </w:rPr>
        <w:t>” means Class B Units (as defined in the PGS LLC Agreement as in effect on the Effective Date) of the Borrower.</w:t>
      </w:r>
    </w:p>
    <w:p>
      <w:pPr>
        <w:spacing w:after="0" w:line="91"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Pinnacle Redemption Agreement</w:t>
      </w:r>
      <w:r>
        <w:rPr>
          <w:rFonts w:ascii="Times New Roman" w:cs="Times New Roman" w:eastAsia="Times New Roman" w:hAnsi="Times New Roman"/>
          <w:sz w:val="22"/>
          <w:szCs w:val="22"/>
          <w:color w:val="auto"/>
        </w:rPr>
        <w:t>” means that certain Redemption Agreement, dated as of January 28, 2026, by and among Comstock Gas Services LLC, a Texas limited liability company, Cactus Midstream (II), LLC, a Delaware limited liability company (the “</w:t>
      </w:r>
      <w:r>
        <w:rPr>
          <w:rFonts w:ascii="Times New Roman" w:cs="Times New Roman" w:eastAsia="Times New Roman" w:hAnsi="Times New Roman"/>
          <w:sz w:val="22"/>
          <w:szCs w:val="22"/>
          <w:u w:val="single" w:color="auto"/>
          <w:color w:val="auto"/>
        </w:rPr>
        <w:t>Redeemed Pinnacle Member</w:t>
      </w:r>
      <w:r>
        <w:rPr>
          <w:rFonts w:ascii="Times New Roman" w:cs="Times New Roman" w:eastAsia="Times New Roman" w:hAnsi="Times New Roman"/>
          <w:sz w:val="22"/>
          <w:szCs w:val="22"/>
          <w:color w:val="auto"/>
        </w:rPr>
        <w:t>”), the Borrower, and solely for purposes of Section 7.10 thereof, Comstock, pursuant to which the Borrower shall redeem from the Redeemed Pinnacle Member 100% of the outstanding Pinnacle Preferred Equity Interests of the Borrower (the “</w:t>
      </w:r>
      <w:r>
        <w:rPr>
          <w:rFonts w:ascii="Times New Roman" w:cs="Times New Roman" w:eastAsia="Times New Roman" w:hAnsi="Times New Roman"/>
          <w:sz w:val="22"/>
          <w:szCs w:val="22"/>
          <w:u w:val="single" w:color="auto"/>
          <w:color w:val="auto"/>
        </w:rPr>
        <w:t>Specified Pinnacle Equity Redemption</w:t>
      </w:r>
      <w:r>
        <w:rPr>
          <w:rFonts w:ascii="Times New Roman" w:cs="Times New Roman" w:eastAsia="Times New Roman" w:hAnsi="Times New Roman"/>
          <w:sz w:val="22"/>
          <w:szCs w:val="22"/>
          <w:color w:val="auto"/>
        </w:rPr>
        <w:t>”), as such agreement is in effect on January 28, 2026.</w:t>
      </w:r>
    </w:p>
    <w:p>
      <w:pPr>
        <w:spacing w:after="0" w:line="183" w:lineRule="exact"/>
        <w:rPr>
          <w:sz w:val="20"/>
          <w:szCs w:val="20"/>
          <w:color w:val="auto"/>
        </w:rPr>
      </w:pPr>
    </w:p>
    <w:p>
      <w:pPr>
        <w:ind w:right="129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Pinnacle Redemption Compliance Certificate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9.04(g)</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Pinnacle Redemption Effective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9.04(g)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74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Pinnacle System</w:t>
      </w:r>
      <w:r>
        <w:rPr>
          <w:rFonts w:ascii="Times New Roman" w:cs="Times New Roman" w:eastAsia="Times New Roman" w:hAnsi="Times New Roman"/>
          <w:sz w:val="21"/>
          <w:szCs w:val="21"/>
          <w:color w:val="auto"/>
        </w:rPr>
        <w:t>” means the natural gas gathering and transportation pipeline system owned by one or more Loan Parties and any additions thereto or expansions thereof after the Effective Date, which as of the Effective Date is located in Robertson, Leon, Freestone, Anderson and Limestone counties in Texas.</w:t>
      </w:r>
    </w:p>
    <w:p>
      <w:pPr>
        <w:spacing w:after="0" w:line="157"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as defined in section 3(2) of ERISA, that is subject to Title IV of ERISA or sections 412 and 430 of the Code or section 302 of ERISA and that (a) is currently or hereafter sponsored, maintained or contributed to by a Loan Party or an ERISA Affiliate or (b) was at any time during the six (6) calendar years preceding the date hereof, sponsored, maintained or contributed to by a Loan Party or an ERISA Affiliate.</w:t>
      </w:r>
    </w:p>
    <w:p>
      <w:pPr>
        <w:spacing w:after="0" w:line="177"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means Debt Domain, Intralinks, SyndTrak or a substantially similar electronic transmission system.</w:t>
      </w:r>
    </w:p>
    <w:p>
      <w:pPr>
        <w:spacing w:after="0" w:line="158"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at any time, the rate of interest per annum publicly announced from time to time by Wells Fargo as its prime rate. Each change in the Prime Rate shall be effective as of the opening of business on the day such change in such prime rate occurs. The parties hereto acknowledge that the rate announced publicly by Wells Fargo as its prime rate is an index or base rate and shall not necessarily be its lowest or best rate charged to its customers or other banks.</w:t>
      </w:r>
    </w:p>
    <w:p>
      <w:pPr>
        <w:spacing w:after="0" w:line="177" w:lineRule="exact"/>
        <w:rPr>
          <w:sz w:val="20"/>
          <w:szCs w:val="20"/>
          <w:color w:val="auto"/>
        </w:rPr>
      </w:pPr>
    </w:p>
    <w:p>
      <w:pPr>
        <w:jc w:val="both"/>
        <w:ind w:right="399" w:firstLine="747"/>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Basis</w:t>
      </w:r>
      <w:r>
        <w:rPr>
          <w:rFonts w:ascii="Times New Roman" w:cs="Times New Roman" w:eastAsia="Times New Roman" w:hAnsi="Times New Roman"/>
          <w:sz w:val="22"/>
          <w:szCs w:val="22"/>
          <w:color w:val="auto"/>
        </w:rPr>
        <w:t>” means, with respect to the calculation of Consolidated Net Income or Consolidated EBITDA attributable to any Rolling Period in which the Borrower or any Restricted</w:t>
      </w:r>
    </w:p>
    <w:p>
      <w:pPr>
        <w:ind w:left="5140"/>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68" w:name="page69"/>
    <w:bookmarkEnd w:id="68"/>
    <w:p>
      <w:pPr>
        <w:jc w:val="both"/>
        <w:ind w:right="399"/>
        <w:spacing w:after="0" w:line="233" w:lineRule="auto"/>
        <w:rPr>
          <w:sz w:val="20"/>
          <w:szCs w:val="20"/>
          <w:color w:val="auto"/>
        </w:rPr>
      </w:pPr>
      <w:r>
        <w:rPr>
          <w:rFonts w:ascii="Times New Roman" w:cs="Times New Roman" w:eastAsia="Times New Roman" w:hAnsi="Times New Roman"/>
          <w:sz w:val="22"/>
          <w:szCs w:val="22"/>
          <w:color w:val="auto"/>
        </w:rPr>
        <w:t>Subsidiary shall have made any Material Disposition or Material Acquisition, or designated a Subsidiary as an Unrestricted Subsidiary or as a Restricted Subsidiary, in each case, subsequent to the commencement of such Rolling Period, (i) in the case of a Material Disposition, Consolidated Net Income and Consolidated EBITDA shall exclude from the calculation thereof any amounts attributable to the Property that is the subject of such Material Disposition for such Rolling Period as if such Material Disposition had occurred on the first day of such Rolling Period, (ii) in the case of a Material Acquisition, Consolidated Net Income and Consolidated EBITDA for such Rolling Period shall be calculated after giving pro forma effect thereto in accordance with Regulation S-X under the Securities Act of 1933, as if such Material Acquisition had occurred on the first day of such Rolling Period, and (iii) in the case of a designation by the Borrower of a Subsidiary as an Unrestricted Subsidiary or as a Restricted Subsidiary, Consolidated Net Income and Consolidated EBITDA for such Rolling Period shall be calculated after giving pro forma effect thereto in accordance with Regulation S-X under the Securities Act of 1933 as if such designation occurred on the first day of such Rolling Period.</w:t>
      </w:r>
    </w:p>
    <w:p>
      <w:pPr>
        <w:spacing w:after="0" w:line="182"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Processing Plants</w:t>
      </w:r>
      <w:r>
        <w:rPr>
          <w:rFonts w:ascii="Times New Roman" w:cs="Times New Roman" w:eastAsia="Times New Roman" w:hAnsi="Times New Roman"/>
          <w:sz w:val="22"/>
          <w:szCs w:val="22"/>
          <w:color w:val="auto"/>
        </w:rPr>
        <w:t>” means the Midstream Properties of the Relevant Parties comprised of any processing, treatment, fractionation, or compression plants or other similar facilities (including the Pinnacle Plants), and any terminals, tankage and loading racks, in each case that are owned or leased from time to time by any Relevant Party and used in the business of such Relevant Party.</w:t>
      </w:r>
    </w:p>
    <w:p>
      <w:pPr>
        <w:spacing w:after="0" w:line="180"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means the construction of an identified Gathering System, Processing Plant or other Midstream Property, or an identified extension or expansion of any such Gathering System, Processing Plant or other Midstream Property.</w:t>
      </w:r>
    </w:p>
    <w:p>
      <w:pPr>
        <w:spacing w:after="0" w:line="173"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means any interest in any kind of property or asset, whether real, personal or mixed, or tangible or intangible (including, without limitation, cash, securities, accounts, contract rights and Equity Interests or other ownership interests of any Person), whether now in existence or owned or hereafter acquired.</w:t>
      </w:r>
    </w:p>
    <w:p>
      <w:pPr>
        <w:spacing w:after="0" w:line="180" w:lineRule="exact"/>
        <w:rPr>
          <w:sz w:val="20"/>
          <w:szCs w:val="20"/>
          <w:color w:val="auto"/>
        </w:rPr>
      </w:pPr>
    </w:p>
    <w:p>
      <w:pPr>
        <w:ind w:right="135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8"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Money Indebtedness</w:t>
      </w:r>
      <w:r>
        <w:rPr>
          <w:rFonts w:ascii="Times New Roman" w:cs="Times New Roman" w:eastAsia="Times New Roman" w:hAnsi="Times New Roman"/>
          <w:sz w:val="22"/>
          <w:szCs w:val="22"/>
          <w:color w:val="auto"/>
        </w:rPr>
        <w:t>” means Indebtedness, the proceeds of which are used to finance the acquisition, construction, or improvement of inventory, equipment or other Property in the ordinary course of business.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12.20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ECP Guarantor</w:t>
      </w:r>
      <w:r>
        <w:rPr>
          <w:rFonts w:ascii="Times New Roman" w:cs="Times New Roman" w:eastAsia="Times New Roman" w:hAnsi="Times New Roman"/>
          <w:sz w:val="22"/>
          <w:szCs w:val="22"/>
          <w:color w:val="auto"/>
        </w:rPr>
        <w:t>” means, in respect of any Hedging Agreement, each Loan Party that (a) has total assets exceeding $10,000,000 at the time that any guaranty of obligations under such Hedging Agreement or any grant of a security interest to secure such Hedging Agreement becomes effective or (b) otherwise constitutes an “eligible contract participant” under the Commodity Exchange Act and can cause another Person to qualify as an “eligible contract participant” at such time by entering into a “keepwell” under section 1a(18)(A)(v)(II) of the Commodity Exchange Act.</w:t>
      </w:r>
    </w:p>
    <w:p>
      <w:pPr>
        <w:spacing w:after="0" w:line="181" w:lineRule="exact"/>
        <w:rPr>
          <w:sz w:val="20"/>
          <w:szCs w:val="20"/>
          <w:color w:val="auto"/>
        </w:rPr>
      </w:pPr>
    </w:p>
    <w:p>
      <w:pPr>
        <w:jc w:val="both"/>
        <w:ind w:right="399" w:firstLine="747"/>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 the Administrative Agent, (b) any Lender, or (c) the Issuing Bank, as applicable.</w:t>
      </w:r>
    </w:p>
    <w:p>
      <w:pPr>
        <w:ind w:left="514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69" w:name="page70"/>
    <w:bookmarkEnd w:id="69"/>
    <w:p>
      <w:pPr>
        <w:ind w:right="115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Recovery Event</w:t>
      </w:r>
      <w:r>
        <w:rPr>
          <w:rFonts w:ascii="Times New Roman" w:cs="Times New Roman" w:eastAsia="Times New Roman" w:hAnsi="Times New Roman"/>
          <w:sz w:val="22"/>
          <w:szCs w:val="22"/>
          <w:color w:val="auto"/>
        </w:rPr>
        <w:t>” means the receipt by any Relevant Party of any cash insurance proceeds or condemnation awards payable by reason of a Casualty Event.</w:t>
      </w:r>
    </w:p>
    <w:p>
      <w:pPr>
        <w:spacing w:after="0" w:line="158"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Redeemed Pinnacle Member</w:t>
      </w:r>
      <w:r>
        <w:rPr>
          <w:rFonts w:ascii="Times New Roman" w:cs="Times New Roman" w:eastAsia="Times New Roman" w:hAnsi="Times New Roman"/>
          <w:sz w:val="22"/>
          <w:szCs w:val="22"/>
          <w:color w:val="auto"/>
        </w:rPr>
        <w:t>” has the meaning assigned to such term in the definition of “Pinnacle Redemption Agreement”.</w:t>
      </w:r>
    </w:p>
    <w:p>
      <w:pPr>
        <w:spacing w:after="0" w:line="158"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w:t>
      </w:r>
      <w:r>
        <w:rPr>
          <w:rFonts w:ascii="Times New Roman" w:cs="Times New Roman" w:eastAsia="Times New Roman" w:hAnsi="Times New Roman"/>
          <w:sz w:val="22"/>
          <w:szCs w:val="22"/>
          <w:color w:val="auto"/>
        </w:rPr>
        <w:t>” means with respect to any Indebtedness, the repurchase, redemption, prepayment, repayment, or defeasance or any other acquisition or retirement for value (or the segregation of funds with respect to any of the foregoing) of such Indebtedness. “</w:t>
      </w:r>
      <w:r>
        <w:rPr>
          <w:rFonts w:ascii="Times New Roman" w:cs="Times New Roman" w:eastAsia="Times New Roman" w:hAnsi="Times New Roman"/>
          <w:sz w:val="22"/>
          <w:szCs w:val="22"/>
          <w:u w:val="single" w:color="auto"/>
          <w:color w:val="auto"/>
        </w:rPr>
        <w:t>Redeem</w:t>
      </w:r>
      <w:r>
        <w:rPr>
          <w:rFonts w:ascii="Times New Roman" w:cs="Times New Roman" w:eastAsia="Times New Roman" w:hAnsi="Times New Roman"/>
          <w:sz w:val="22"/>
          <w:szCs w:val="22"/>
          <w:color w:val="auto"/>
        </w:rPr>
        <w:t>” has the correlative meaning thereto.</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12.04(c)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3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D</w:t>
      </w:r>
      <w:r>
        <w:rPr>
          <w:rFonts w:ascii="Times New Roman" w:cs="Times New Roman" w:eastAsia="Times New Roman" w:hAnsi="Times New Roman"/>
          <w:sz w:val="22"/>
          <w:szCs w:val="22"/>
          <w:color w:val="auto"/>
        </w:rPr>
        <w:t>” means Regulation D of the Board, as the same may be amended, supplemented or replaced from time to time.</w:t>
      </w:r>
    </w:p>
    <w:p>
      <w:pPr>
        <w:spacing w:after="0" w:line="158"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Person, such Person’s Affiliates and the partners, directors, officers, employees, agents and advisors of such Person and of such Person’s Affiliates.</w:t>
      </w:r>
    </w:p>
    <w:p>
      <w:pPr>
        <w:spacing w:after="0" w:line="158"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depositing, spilling, leaking, pumping, pouring, placing, emitting, discarding, abandoning, emptying, discharging, injecting, escaping, leaching, dumping, or disposing.</w:t>
      </w:r>
    </w:p>
    <w:p>
      <w:pPr>
        <w:spacing w:after="0" w:line="158"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Board and/or the Federal Reserve Bank of New York, or a committee officially endorsed or convened by the Board and/or the Federal Reserve Bank of New York or any successor thereto.</w:t>
      </w:r>
    </w:p>
    <w:p>
      <w:pPr>
        <w:spacing w:after="0" w:line="173" w:lineRule="exact"/>
        <w:rPr>
          <w:sz w:val="20"/>
          <w:szCs w:val="20"/>
          <w:color w:val="auto"/>
        </w:rPr>
      </w:pPr>
    </w:p>
    <w:p>
      <w:pPr>
        <w:ind w:right="123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Party</w:t>
      </w:r>
      <w:r>
        <w:rPr>
          <w:rFonts w:ascii="Times New Roman" w:cs="Times New Roman" w:eastAsia="Times New Roman" w:hAnsi="Times New Roman"/>
          <w:sz w:val="22"/>
          <w:szCs w:val="22"/>
          <w:color w:val="auto"/>
        </w:rPr>
        <w:t>” means, collectively or individually as the context requires, the Borrower and each Restricted Subsidiary.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Remedial Work</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747"/>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Lenders</w:t>
      </w:r>
      <w:r>
        <w:rPr>
          <w:rFonts w:ascii="Times New Roman" w:cs="Times New Roman" w:eastAsia="Times New Roman" w:hAnsi="Times New Roman"/>
          <w:sz w:val="21"/>
          <w:szCs w:val="21"/>
          <w:color w:val="auto"/>
        </w:rPr>
        <w:t xml:space="preserve">” means, (a) if there are less than three Lenders that are not Affiliates at such time, all Lenders, and (b) if there are three or more Lenders that are not Affiliates at such time, (i) at any time while no Loans or LC Exposure is outstanding, Lenders having greater than 50% of the aggregate Commitments; and (ii) at any time while any Loans or LC Exposure is outstanding, Lenders holding greater than 50% of the outstanding aggregate principal amount of the Loans and participation interests in Letters of Credit (without regard to any sale by a Lender of a participation in any Loan under </w:t>
      </w:r>
      <w:r>
        <w:rPr>
          <w:rFonts w:ascii="Times New Roman" w:cs="Times New Roman" w:eastAsia="Times New Roman" w:hAnsi="Times New Roman"/>
          <w:sz w:val="21"/>
          <w:szCs w:val="21"/>
          <w:u w:val="single" w:color="auto"/>
          <w:color w:val="auto"/>
        </w:rPr>
        <w:t>Section 12.04(d)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Commitments and the principal amount of the Loans and participation interests in Letters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Credit of the Defaulting Lenders (if any) shall be excluded from the determination of Required Lenders.</w:t>
      </w:r>
    </w:p>
    <w:p>
      <w:pPr>
        <w:spacing w:after="0" w:line="172" w:lineRule="exact"/>
        <w:rPr>
          <w:sz w:val="20"/>
          <w:szCs w:val="20"/>
          <w:color w:val="auto"/>
        </w:rPr>
      </w:pPr>
    </w:p>
    <w:p>
      <w:pPr>
        <w:ind w:right="559" w:firstLine="749"/>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ind w:left="5140"/>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70" w:name="page71"/>
    <w:bookmarkEnd w:id="70"/>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as to any Person, the chief executive officer, the president, any financial officer or any vice president of such Person. Unless otherwise specified, all references to a Responsible Officer herein means a Responsible Officer of the Borrower.</w:t>
      </w:r>
    </w:p>
    <w:p>
      <w:pPr>
        <w:spacing w:after="0" w:line="173"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any dividend or other distribution (whether by division, in cash, securities or other Property) with respect to any Equity Interests in the Borrower (including Pinnacle Preferred Equity Interests) or any Restricted Subsidiary, or any payment (whether by division, in cash, securities or other Property), including any sinking fund or similar deposit, on account of the purchase, redemption, retirement, acquisition, cancellation or termination of any such Equity Interests in the Borrower (including Pinnacle Preferred Equity Interests) or any of its Subsidiaries or any option, warrant or other right to acquire any such Equity Interests in the Borrower or any of its Subsidiaries. For the avoidance of doubt, any redemption, whether voluntary or mandatory, of Pinnacle Preferred Equity Interests shall constitute a Restricted Payment.</w:t>
      </w:r>
    </w:p>
    <w:p>
      <w:pPr>
        <w:spacing w:after="0" w:line="183"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Subsidiaries</w:t>
      </w:r>
      <w:r>
        <w:rPr>
          <w:rFonts w:ascii="Times New Roman" w:cs="Times New Roman" w:eastAsia="Times New Roman" w:hAnsi="Times New Roman"/>
          <w:sz w:val="22"/>
          <w:szCs w:val="22"/>
          <w:color w:val="auto"/>
        </w:rPr>
        <w:t xml:space="preserve">” means all direct and indirect Subsidiaries of the Borrower other than Unrestricted Subsidiaries. Unless designated as an Unrestricted Subsidiary in compliance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8.17(a)</w:t>
      </w:r>
      <w:r>
        <w:rPr>
          <w:rFonts w:ascii="Times New Roman" w:cs="Times New Roman" w:eastAsia="Times New Roman" w:hAnsi="Times New Roman"/>
          <w:sz w:val="22"/>
          <w:szCs w:val="22"/>
          <w:color w:val="auto"/>
        </w:rPr>
        <w:t>, any Person that becomes a Subsidiary of the Borrower or any of its Restricted Subsidiaries (other than a Subsidiary of an Unrestricted Subsidiary) shall be classified as a Restricted Subsidiary. As of the Effective Date, PGT is the only Restricted Subsidiary.</w:t>
      </w:r>
    </w:p>
    <w:p>
      <w:pPr>
        <w:spacing w:after="0" w:line="177"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Exposure</w:t>
      </w:r>
      <w:r>
        <w:rPr>
          <w:rFonts w:ascii="Times New Roman" w:cs="Times New Roman" w:eastAsia="Times New Roman" w:hAnsi="Times New Roman"/>
          <w:sz w:val="22"/>
          <w:szCs w:val="22"/>
          <w:color w:val="auto"/>
        </w:rPr>
        <w:t>” means, with respect to any Lender at any time, the sum of the outstanding principal amount of such Lender’s Loans and its LC Exposure at such time.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Rights of Way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7.16(b)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Rolling Period</w:t>
      </w:r>
      <w:r>
        <w:rPr>
          <w:rFonts w:ascii="Times New Roman" w:cs="Times New Roman" w:eastAsia="Times New Roman" w:hAnsi="Times New Roman"/>
          <w:sz w:val="22"/>
          <w:szCs w:val="22"/>
          <w:color w:val="auto"/>
        </w:rPr>
        <w:t>” means (a) for the fiscal quarters ending on June 30, 2026, September 30, 2026 and December 31, 2026, the period commencing on April 1, 2026 and ending on the last day of such applicable fiscal quarter and (b) for the fiscal quarter ending on March 31, 2027 and for each fiscal quarter ending thereafter, the period of four (4) consecutive fiscal quarters ending on the last day of such applicable fiscal quarter.</w:t>
      </w:r>
    </w:p>
    <w:p>
      <w:pPr>
        <w:spacing w:after="0" w:line="177"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Ratings Service, a division of S&amp;P Global Inc., and any successor thereto that is a nationally recognized rating agency.</w:t>
      </w:r>
    </w:p>
    <w:p>
      <w:pPr>
        <w:spacing w:after="0" w:line="158"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region or territory which is itself (or whose government is) the subject or target of any Sanctions (as of the Effective Date, including the so-called Donetsk People’s Republic, the so-called Luhansk People’s Republic, the Crimea Region of Ukraine, the Kherson and Zaporizhzhia Regions of Ukraine, Cuba, Iran and North Korea).</w:t>
      </w:r>
    </w:p>
    <w:p>
      <w:pPr>
        <w:spacing w:after="0" w:line="180"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xml:space="preserve">” means, at any time, (a) any Person listed in any Sanctions-related list of designated Persons maintained by OFAC (including OFAC’s Specially Designated Nationals and Blocked Persons List and OFAC’s Consolidated Non-SDN List), the U.S. Department of State, or by the United Nations Security Council, the European Union, any European Union member state, His Majesty’s Treasury of the United Kingdom or other relevant sanctions authority, (b) any Person operating, organized or resident in a Sanctioned Country or (c) any Person owned or controlled by any such Person or Persons described in the foregoing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71" w:name="page72"/>
    <w:bookmarkEnd w:id="71"/>
    <w:p>
      <w:pPr>
        <w:jc w:val="both"/>
        <w:ind w:right="399" w:firstLine="747"/>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means economic or financial sanctions or trade embargoes imposed, administered or enforced from time to time by (a) the U.S. government, including those administered by OFAC, (b) the United Nations Security Council, the European Union or His Majesty’s Treasury of the United Kingdom, or</w:t>
      </w:r>
    </w:p>
    <w:p>
      <w:pPr>
        <w:spacing w:after="0" w:line="1" w:lineRule="exact"/>
        <w:rPr>
          <w:sz w:val="20"/>
          <w:szCs w:val="20"/>
          <w:color w:val="auto"/>
        </w:rPr>
      </w:pPr>
    </w:p>
    <w:p>
      <w:pPr>
        <w:ind w:right="399" w:firstLine="2"/>
        <w:spacing w:after="0" w:line="237" w:lineRule="auto"/>
        <w:tabs>
          <w:tab w:leader="none" w:pos="29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successor Governmental Authority to the Governmental Authorities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(b) of this definition or any other relevant sanctions authority.</w:t>
      </w:r>
    </w:p>
    <w:p>
      <w:pPr>
        <w:spacing w:after="0" w:line="178" w:lineRule="exact"/>
        <w:rPr>
          <w:sz w:val="20"/>
          <w:szCs w:val="20"/>
          <w:color w:val="auto"/>
        </w:rPr>
      </w:pPr>
    </w:p>
    <w:p>
      <w:pPr>
        <w:ind w:right="139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or any successor Governmental Authority.</w:t>
      </w:r>
    </w:p>
    <w:p>
      <w:pPr>
        <w:spacing w:after="0" w:line="158"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Hedging Agreement</w:t>
      </w:r>
      <w:r>
        <w:rPr>
          <w:rFonts w:ascii="Times New Roman" w:cs="Times New Roman" w:eastAsia="Times New Roman" w:hAnsi="Times New Roman"/>
          <w:sz w:val="22"/>
          <w:szCs w:val="22"/>
          <w:color w:val="auto"/>
        </w:rPr>
        <w:t xml:space="preserve">” means any Hedging Agreement of any Loan Party with a Secured Hedging Agreement Counterparty;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 any confirmation or other transaction entered into in respect of any such Hedging Agreement after the applicable Secured Hedging Agreement Counterparty ceases to be a Lender or an Affiliate of a Lender for any reason other than an assignment required under </w:t>
      </w:r>
      <w:r>
        <w:rPr>
          <w:rFonts w:ascii="Times New Roman" w:cs="Times New Roman" w:eastAsia="Times New Roman" w:hAnsi="Times New Roman"/>
          <w:sz w:val="22"/>
          <w:szCs w:val="22"/>
          <w:u w:val="single" w:color="auto"/>
          <w:color w:val="auto"/>
        </w:rPr>
        <w:t>Section 5.04(b)</w:t>
      </w:r>
      <w:r>
        <w:rPr>
          <w:rFonts w:ascii="Times New Roman" w:cs="Times New Roman" w:eastAsia="Times New Roman" w:hAnsi="Times New Roman"/>
          <w:sz w:val="22"/>
          <w:szCs w:val="22"/>
          <w:color w:val="auto"/>
        </w:rPr>
        <w:t xml:space="preserve"> and (b) any Hedging Agreement or transaction thereunder that has been assigned by such applicable Secured Hedging Agreement Counterparty to a third party that is not a Lender or an Affiliate of a Lender, shall be deemed not to be a “Secured Hedging Agreement” for purposes of this Agreement and the other Loan Documents.</w:t>
      </w:r>
    </w:p>
    <w:p>
      <w:pPr>
        <w:spacing w:after="0" w:line="178"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Hedging Agreement Counterparty</w:t>
      </w:r>
      <w:r>
        <w:rPr>
          <w:rFonts w:ascii="Times New Roman" w:cs="Times New Roman" w:eastAsia="Times New Roman" w:hAnsi="Times New Roman"/>
          <w:sz w:val="22"/>
          <w:szCs w:val="22"/>
          <w:color w:val="auto"/>
        </w:rPr>
        <w:t xml:space="preserve">” means (a) any Person that is a party to a Hedging Agreement with any Loan Party that enters into such Hedging Agreement while such Person is or before such Person becomes, a Lender or an Affiliate of a Lender, whether or not such Person at any time ceases to be a Lender or an Affiliate of a Lender, as the case may be, or (b) any assignee of any Person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definition so long as such assignee is a Lender or an Affiliate of a Lender.</w:t>
      </w:r>
    </w:p>
    <w:p>
      <w:pPr>
        <w:spacing w:after="0" w:line="177" w:lineRule="exact"/>
        <w:rPr>
          <w:sz w:val="20"/>
          <w:szCs w:val="20"/>
          <w:color w:val="auto"/>
        </w:rPr>
      </w:pPr>
    </w:p>
    <w:p>
      <w:pPr>
        <w:jc w:val="both"/>
        <w:ind w:right="399" w:firstLine="74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Obligations</w:t>
      </w:r>
      <w:r>
        <w:rPr>
          <w:rFonts w:ascii="Times New Roman" w:cs="Times New Roman" w:eastAsia="Times New Roman" w:hAnsi="Times New Roman"/>
          <w:sz w:val="22"/>
          <w:szCs w:val="22"/>
          <w:color w:val="auto"/>
        </w:rPr>
        <w:t>” means any and all obligations of and amounts owing or to be owing (including interest accruing at any post-default rate and interest accruing after the filing of any proceeding under any Debtor Relief Law, relating to any Loan Party, whether or not a claim for post-filing or post-petition interest is allowed in such proceeding) by any Loan Party (whether direct or indirect (including those acquired by assumption), absolute or contingent, due or to become due, now existing or hereafter arising): (a) to the Administrative Agent, the Issuing Bank, any trustee or any Lender under any Loan Document; (b) to any Secured Hedging Agreement Counterparty under any Secured Hedging Agreement;</w:t>
      </w:r>
    </w:p>
    <w:p>
      <w:pPr>
        <w:spacing w:after="0" w:line="6" w:lineRule="exact"/>
        <w:rPr>
          <w:sz w:val="20"/>
          <w:szCs w:val="20"/>
          <w:color w:val="auto"/>
        </w:rPr>
      </w:pPr>
    </w:p>
    <w:p>
      <w:pPr>
        <w:jc w:val="both"/>
        <w:ind w:right="399" w:firstLine="2"/>
        <w:spacing w:after="0" w:line="247" w:lineRule="auto"/>
        <w:tabs>
          <w:tab w:leader="none" w:pos="32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any Treasury Management Counterparty under any Treasury Management Agreement; and (d) all renewals, extensions and/or rearrangements of any of the above;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with respect to any particular Loan Party, the Secured Obligations owing by such Loan Party, or secured by Liens granted by such Loan Party, shall not include any Excluded Hedging Obligations in respect of such Loan Party.</w:t>
      </w:r>
    </w:p>
    <w:p>
      <w:pPr>
        <w:spacing w:after="0" w:line="170" w:lineRule="exact"/>
        <w:rPr>
          <w:sz w:val="20"/>
          <w:szCs w:val="20"/>
          <w:color w:val="auto"/>
        </w:rPr>
      </w:pPr>
    </w:p>
    <w:p>
      <w:pPr>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means, collectively, the Administrative Agent, the Issuing Bank, each Lender, each Secured Hedging Agreement Counterparty and each Treasury Management Counterparty.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Account</w:t>
      </w:r>
      <w:r>
        <w:rPr>
          <w:rFonts w:ascii="Times New Roman" w:cs="Times New Roman" w:eastAsia="Times New Roman" w:hAnsi="Times New Roman"/>
          <w:sz w:val="22"/>
          <w:szCs w:val="22"/>
          <w:color w:val="auto"/>
        </w:rPr>
        <w:t>” shall have the meaning set forth in Article 8 of the UCC.</w:t>
      </w:r>
    </w:p>
    <w:p>
      <w:pPr>
        <w:spacing w:after="0" w:line="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72" w:name="page73"/>
    <w:bookmarkEnd w:id="72"/>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Exchange Act</w:t>
      </w:r>
      <w:r>
        <w:rPr>
          <w:rFonts w:ascii="Times New Roman" w:cs="Times New Roman" w:eastAsia="Times New Roman" w:hAnsi="Times New Roman"/>
          <w:sz w:val="22"/>
          <w:szCs w:val="22"/>
          <w:color w:val="auto"/>
        </w:rPr>
        <w:t>” means the Securities Exchange Act of 1934, as amended from time to time, any successor statute, and any rule, regulation, or order of the SEC (or the application or official interpretation of any thereof).</w:t>
      </w:r>
    </w:p>
    <w:p>
      <w:pPr>
        <w:spacing w:after="0" w:line="173"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Instruments</w:t>
      </w:r>
      <w:r>
        <w:rPr>
          <w:rFonts w:ascii="Times New Roman" w:cs="Times New Roman" w:eastAsia="Times New Roman" w:hAnsi="Times New Roman"/>
          <w:sz w:val="22"/>
          <w:szCs w:val="22"/>
          <w:color w:val="auto"/>
        </w:rPr>
        <w:t>” means the Guaranty and Collateral Agreement, the Mortgages, any Account Control Agreements, the Parent Pledge Agreement and any and all other agreements, instruments, consents or certificates now or hereafter executed and delivered by the Borrower, any other Loan Party or any other Person (other than Secured Hedging Agreements, Treasury Management Agreements or participation or similar agreements between any Lender and any other lender or creditor with respect to any Secured Obligations pursuant to this Agreement) as security for the payment or performance of the Secured Obligations, the Notes, this Agreement, or reimbursement obligations under the Letters of Credit, as the same may be amended, modified, supplemented or restated from time to time.</w:t>
      </w:r>
    </w:p>
    <w:p>
      <w:pPr>
        <w:spacing w:after="0" w:line="178"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158" w:lineRule="exact"/>
        <w:rPr>
          <w:sz w:val="20"/>
          <w:szCs w:val="20"/>
          <w:color w:val="auto"/>
        </w:rPr>
      </w:pPr>
    </w:p>
    <w:p>
      <w:pPr>
        <w:ind w:right="159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58"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Borrowing</w:t>
      </w:r>
      <w:r>
        <w:rPr>
          <w:rFonts w:ascii="Times New Roman" w:cs="Times New Roman" w:eastAsia="Times New Roman" w:hAnsi="Times New Roman"/>
          <w:sz w:val="22"/>
          <w:szCs w:val="22"/>
          <w:color w:val="auto"/>
        </w:rPr>
        <w:t xml:space="preserve">” when used in reference to any Borrowing, refers to whether the Loans comprising such Borrowing are bearing interest at a rate determined by reference to the Term SOFR as provided in </w:t>
      </w:r>
      <w:r>
        <w:rPr>
          <w:rFonts w:ascii="Times New Roman" w:cs="Times New Roman" w:eastAsia="Times New Roman" w:hAnsi="Times New Roman"/>
          <w:sz w:val="22"/>
          <w:szCs w:val="22"/>
          <w:u w:val="single" w:color="auto"/>
          <w:color w:val="auto"/>
        </w:rPr>
        <w:t>Section 3.02(b)</w:t>
      </w:r>
      <w:r>
        <w:rPr>
          <w:rFonts w:ascii="Times New Roman" w:cs="Times New Roman" w:eastAsia="Times New Roman" w:hAnsi="Times New Roman"/>
          <w:sz w:val="22"/>
          <w:szCs w:val="22"/>
          <w:color w:val="auto"/>
        </w:rPr>
        <w:t xml:space="preserve"> and for the avoidance of doubt excludes any Borrowing bearing interest pursuant to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of the definition of “Alternate Base Rate”.</w:t>
      </w:r>
    </w:p>
    <w:p>
      <w:pPr>
        <w:spacing w:after="0" w:line="180"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Loan</w:t>
      </w:r>
      <w:r>
        <w:rPr>
          <w:rFonts w:ascii="Times New Roman" w:cs="Times New Roman" w:eastAsia="Times New Roman" w:hAnsi="Times New Roman"/>
          <w:sz w:val="22"/>
          <w:szCs w:val="22"/>
          <w:color w:val="auto"/>
        </w:rPr>
        <w:t xml:space="preserve">” means any Loan bearing interest at a rate based on Term SOFR as provided in </w:t>
      </w:r>
      <w:r>
        <w:rPr>
          <w:rFonts w:ascii="Times New Roman" w:cs="Times New Roman" w:eastAsia="Times New Roman" w:hAnsi="Times New Roman"/>
          <w:sz w:val="22"/>
          <w:szCs w:val="22"/>
          <w:u w:val="single" w:color="auto"/>
          <w:color w:val="auto"/>
        </w:rPr>
        <w:t>Section 3.02(b)</w:t>
      </w:r>
      <w:r>
        <w:rPr>
          <w:rFonts w:ascii="Times New Roman" w:cs="Times New Roman" w:eastAsia="Times New Roman" w:hAnsi="Times New Roman"/>
          <w:sz w:val="22"/>
          <w:szCs w:val="22"/>
          <w:color w:val="auto"/>
        </w:rPr>
        <w:t xml:space="preserve">, excluding, for the avoidance of doubt, any Loan bearing interest pursuant to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of the definition of “Alternate Base Rate”.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with respect to any Person or any group of Persons as of any date, that</w:t>
      </w:r>
    </w:p>
    <w:p>
      <w:pPr>
        <w:spacing w:after="0" w:line="14" w:lineRule="exact"/>
        <w:rPr>
          <w:sz w:val="20"/>
          <w:szCs w:val="20"/>
          <w:color w:val="auto"/>
        </w:rPr>
      </w:pPr>
    </w:p>
    <w:p>
      <w:pPr>
        <w:jc w:val="both"/>
        <w:ind w:right="399" w:firstLine="2"/>
        <w:spacing w:after="0" w:line="232" w:lineRule="auto"/>
        <w:tabs>
          <w:tab w:leader="none" w:pos="30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the Property of such Person or group (both at fair value and present fair saleable value) is, on the date of determination, greater than the total amount of liabilities (including contingent and unliquidated liabilities) of such Person or group as of such date, (b) as of such date, such Person or group is able to pay all liabilities of such Person or group as such liabilities mature, and (c) as of such date, such Person or group does not have unreasonably small capital given the nature of its business.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w:t>
      </w:r>
    </w:p>
    <w:p>
      <w:pPr>
        <w:spacing w:after="0" w:line="180"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Flood Hazard Area</w:t>
      </w:r>
      <w:r>
        <w:rPr>
          <w:rFonts w:ascii="Times New Roman" w:cs="Times New Roman" w:eastAsia="Times New Roman" w:hAnsi="Times New Roman"/>
          <w:sz w:val="22"/>
          <w:szCs w:val="22"/>
          <w:color w:val="auto"/>
        </w:rPr>
        <w:t>” means an area that FEMA’s current flood maps indicate has at least a one percent (1%) chance of a flood equal to or exceeding the base flood elevation (a 100-year flood) in any given year.</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Material Contracts</w:t>
      </w:r>
      <w:r>
        <w:rPr>
          <w:rFonts w:ascii="Times New Roman" w:cs="Times New Roman" w:eastAsia="Times New Roman" w:hAnsi="Times New Roman"/>
          <w:sz w:val="22"/>
          <w:szCs w:val="22"/>
          <w:color w:val="auto"/>
        </w:rPr>
        <w:t xml:space="preserve">” means each agreement set forth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139" w:firstLine="749"/>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Pinnacle Equity Redemption</w:t>
      </w:r>
      <w:r>
        <w:rPr>
          <w:rFonts w:ascii="Times New Roman" w:cs="Times New Roman" w:eastAsia="Times New Roman" w:hAnsi="Times New Roman"/>
          <w:sz w:val="22"/>
          <w:szCs w:val="22"/>
          <w:color w:val="auto"/>
        </w:rPr>
        <w:t>” has the meaning given such term in the definition of Pinnacle Redemption Agreement.</w:t>
      </w:r>
    </w:p>
    <w:p>
      <w:pPr>
        <w:ind w:left="5140"/>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73" w:name="page74"/>
    <w:bookmarkEnd w:id="73"/>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 Pipeline Regulatory Agencies</w:t>
      </w:r>
      <w:r>
        <w:rPr>
          <w:rFonts w:ascii="Times New Roman" w:cs="Times New Roman" w:eastAsia="Times New Roman" w:hAnsi="Times New Roman"/>
          <w:sz w:val="22"/>
          <w:szCs w:val="22"/>
          <w:color w:val="auto"/>
        </w:rPr>
        <w:t>” means, collectively, the Railroad Commission of Texas, any similar Governmental Authorities in other jurisdictions, and any successor Governmental Authorities of any of the foregoing.</w:t>
      </w:r>
    </w:p>
    <w:p>
      <w:pPr>
        <w:spacing w:after="0" w:line="173"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 any Person of which at least a majority of the outstanding Equity Interests having by the terms thereof ordinary voting power to elect a majority of the board of directors, manager or other governing body of such Person (irrespective of whether or not at the time Equity Interests of any other class or classes of such Person shall have or might have voting power by reason of the happening of any contingency) is at the time directly or indirectly owned or controlled by (i) another Person, (ii) one or more of such other Person’s Subsidiaries or</w:t>
      </w:r>
    </w:p>
    <w:p>
      <w:pPr>
        <w:spacing w:after="0" w:line="232" w:lineRule="auto"/>
        <w:rPr>
          <w:sz w:val="20"/>
          <w:szCs w:val="20"/>
          <w:color w:val="auto"/>
        </w:rPr>
      </w:pPr>
      <w:r>
        <w:rPr>
          <w:rFonts w:ascii="Times New Roman" w:cs="Times New Roman" w:eastAsia="Times New Roman" w:hAnsi="Times New Roman"/>
          <w:sz w:val="22"/>
          <w:szCs w:val="22"/>
          <w:color w:val="auto"/>
        </w:rPr>
        <w:t>(iii) collectively, such other Person and one or more of such other Person’s Subsidiaries, and</w:t>
      </w:r>
    </w:p>
    <w:p>
      <w:pPr>
        <w:spacing w:after="0" w:line="1" w:lineRule="exact"/>
        <w:rPr>
          <w:sz w:val="20"/>
          <w:szCs w:val="20"/>
          <w:color w:val="auto"/>
        </w:rPr>
      </w:pPr>
    </w:p>
    <w:p>
      <w:pPr>
        <w:jc w:val="both"/>
        <w:ind w:right="399" w:firstLine="2"/>
        <w:spacing w:after="0" w:line="235" w:lineRule="auto"/>
        <w:tabs>
          <w:tab w:leader="none" w:pos="3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partnership of which such other Person or any of such other Person’s Subsidiaries is a general partner. Unless otherwise indicated herein, each reference to the term “Subsidiary” means a Subsidiary of the Borrower.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12.20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Synthetic Leases</w:t>
      </w:r>
      <w:r>
        <w:rPr>
          <w:rFonts w:ascii="Times New Roman" w:cs="Times New Roman" w:eastAsia="Times New Roman" w:hAnsi="Times New Roman"/>
          <w:sz w:val="21"/>
          <w:szCs w:val="21"/>
          <w:color w:val="auto"/>
        </w:rPr>
        <w:t>” means, in respect of any Person, all leases that have been, or should have been, in accordance with GAAP, treated as operating leases on the financial statements of the Person liable (whether contingently or otherwise) for the payment of rent thereunder and that were properly treated as indebtedness for borrowed money for purposes of United States federal income taxes, if the lessee in respect thereof is obligated to make payments prior to the 91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day after the Maturity Date to either purchase for an amount in excess of, or pay upon early termination an amount in excess of, 80% of the residual value of the Property subject to such operating lease upon expiration or early termination of such lease.</w:t>
      </w:r>
    </w:p>
    <w:p>
      <w:pPr>
        <w:spacing w:after="0" w:line="178"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”means:</w:t>
      </w:r>
    </w:p>
    <w:p>
      <w:pPr>
        <w:spacing w:after="0" w:line="206" w:lineRule="exact"/>
        <w:rPr>
          <w:sz w:val="20"/>
          <w:szCs w:val="20"/>
          <w:color w:val="auto"/>
        </w:rPr>
      </w:pPr>
    </w:p>
    <w:p>
      <w:pPr>
        <w:ind w:right="399" w:firstLine="750"/>
        <w:spacing w:after="0" w:line="233" w:lineRule="auto"/>
        <w:tabs>
          <w:tab w:leader="none" w:pos="109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2"/>
          <w:szCs w:val="22"/>
          <w:u w:val="single" w:color="auto"/>
          <w:color w:val="auto"/>
        </w:rPr>
        <w:t>Periodic Term SOFR Determination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669925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74" w:name="page75"/>
    <w:bookmarkEnd w:id="74"/>
    <w:p>
      <w:pPr>
        <w:jc w:val="both"/>
        <w:ind w:right="399" w:firstLine="751"/>
        <w:spacing w:after="0" w:line="253" w:lineRule="auto"/>
        <w:tabs>
          <w:tab w:leader="none" w:pos="1128"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an ABR Loan on any day, the Term SOFR Reference Rate for a tenor of one month on the day (such day, the “</w:t>
      </w:r>
      <w:r>
        <w:rPr>
          <w:rFonts w:ascii="Times New Roman" w:cs="Times New Roman" w:eastAsia="Times New Roman" w:hAnsi="Times New Roman"/>
          <w:sz w:val="21"/>
          <w:szCs w:val="21"/>
          <w:u w:val="single" w:color="auto"/>
          <w:color w:val="auto"/>
        </w:rPr>
        <w:t>Base Rate Term SOFR Determination Day</w:t>
      </w:r>
      <w:r>
        <w:rPr>
          <w:rFonts w:ascii="Times New Roman" w:cs="Times New Roman" w:eastAsia="Times New Roman" w:hAnsi="Times New Roman"/>
          <w:sz w:val="21"/>
          <w:szCs w:val="21"/>
          <w:color w:val="auto"/>
        </w:rPr>
        <w:t>”) that is two</w:t>
      </w:r>
    </w:p>
    <w:p>
      <w:pPr>
        <w:jc w:val="both"/>
        <w:ind w:right="399" w:firstLine="2"/>
        <w:spacing w:after="0" w:line="232" w:lineRule="auto"/>
        <w:tabs>
          <w:tab w:leader="none" w:pos="33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73" w:lineRule="exact"/>
        <w:rPr>
          <w:sz w:val="20"/>
          <w:szCs w:val="20"/>
          <w:color w:val="auto"/>
        </w:rPr>
      </w:pPr>
    </w:p>
    <w:p>
      <w:pPr>
        <w:ind w:right="49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in the case of both of the foregoing clauses (a) and (b), if Term SOFR as so determined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ever be less than the Floor, then Term SOFR shall be deemed to be the Floor.</w:t>
      </w:r>
    </w:p>
    <w:p>
      <w:pPr>
        <w:spacing w:after="0" w:line="154"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06"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the earlier of (a) the Maturity Date and (b) the date of termination of the Commitments.</w:t>
      </w:r>
    </w:p>
    <w:p>
      <w:pPr>
        <w:spacing w:after="0" w:line="158"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Expenses</w:t>
      </w:r>
      <w:r>
        <w:rPr>
          <w:rFonts w:ascii="Times New Roman" w:cs="Times New Roman" w:eastAsia="Times New Roman" w:hAnsi="Times New Roman"/>
          <w:sz w:val="22"/>
          <w:szCs w:val="22"/>
          <w:color w:val="auto"/>
        </w:rPr>
        <w:t>” means the fees and expenses of the Borrower and its Subsidiaries resulting from the negotiation, documentation, consummation, administration, amendment and supplement of this Agreement and the other Loan Documents (including, without limitation, any amounts and fees paid pursuant to the Fee Letter).</w:t>
      </w:r>
    </w:p>
    <w:p>
      <w:pPr>
        <w:spacing w:after="0" w:line="180"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with respect to (a) the Borrower, the execution, delivery and performance by the Borrower of this Agreement and each other Loan Document to which it is a party from time to time, the borrowing of Loans, the use of the proceeds thereof, the issuance of Letters of Credit hereunder, and the grant of Liens by the Borrower on Collateral pursuant to the Security Instruments, and (b) each Guarantor, the execution, delivery and performance by such Guarantor of each Loan Document to which it is a party from time to time, the guaranteeing of the Secured Obligations and the other obligations under the Guaranty and Collateral Agreement by such Guarantor, and such Guarantor’s grant of the security interests and provision of Collateral under the Security Instruments.</w:t>
      </w:r>
    </w:p>
    <w:p>
      <w:pPr>
        <w:spacing w:after="0" w:line="178"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Management Agreement</w:t>
      </w:r>
      <w:r>
        <w:rPr>
          <w:rFonts w:ascii="Times New Roman" w:cs="Times New Roman" w:eastAsia="Times New Roman" w:hAnsi="Times New Roman"/>
          <w:sz w:val="22"/>
          <w:szCs w:val="22"/>
          <w:color w:val="auto"/>
        </w:rPr>
        <w:t>” means any agreement governing the provision of treasury or cash management services or other bank products, including commercial credit cards, stored value cards, deposit accounts, funds transfers, automated clearinghouse services, auto-borrow services, zero balance accounts, returned check concentration, controlled disbursement services, lockboxes and related services, account reconciliation and reporting services, trade finance services, overdraft protection, and interstate depository network services.</w:t>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300" w:right="1440" w:bottom="1440" w:gutter="0" w:footer="0" w:header="0"/>
        </w:sectPr>
      </w:pPr>
    </w:p>
    <w:bookmarkStart w:id="75" w:name="page76"/>
    <w:bookmarkEnd w:id="75"/>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Management Counterparty</w:t>
      </w:r>
      <w:r>
        <w:rPr>
          <w:rFonts w:ascii="Times New Roman" w:cs="Times New Roman" w:eastAsia="Times New Roman" w:hAnsi="Times New Roman"/>
          <w:sz w:val="22"/>
          <w:szCs w:val="22"/>
          <w:color w:val="auto"/>
        </w:rPr>
        <w:t xml:space="preserve">” means each Lender or Affiliate of a Lender that enters into a Treasury Management Agreement for the benefit of a Loan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Person at any time ceases to be a Lender or an Affiliate of a Lender, as the case may be, such Person shall no longer be a Treasury Management Counterparty.</w:t>
      </w:r>
    </w:p>
    <w:p>
      <w:pPr>
        <w:spacing w:after="0" w:line="180"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the Alternate Base Rate, Term SOFR or any Benchmark Replacement.</w:t>
      </w:r>
    </w:p>
    <w:p>
      <w:pPr>
        <w:spacing w:after="0" w:line="173" w:lineRule="exact"/>
        <w:rPr>
          <w:sz w:val="20"/>
          <w:szCs w:val="20"/>
          <w:color w:val="auto"/>
        </w:rPr>
      </w:pPr>
    </w:p>
    <w:p>
      <w:pPr>
        <w:jc w:val="both"/>
        <w:ind w:right="399" w:firstLine="747"/>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Financial Institution</w:t>
      </w:r>
      <w:r>
        <w:rPr>
          <w:rFonts w:ascii="Times New Roman" w:cs="Times New Roman" w:eastAsia="Times New Roman" w:hAnsi="Times New Roman"/>
          <w:sz w:val="21"/>
          <w:szCs w:val="21"/>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8"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8" w:lineRule="exact"/>
        <w:rPr>
          <w:sz w:val="20"/>
          <w:szCs w:val="20"/>
          <w:color w:val="auto"/>
        </w:rPr>
      </w:pPr>
    </w:p>
    <w:p>
      <w:pPr>
        <w:jc w:val="both"/>
        <w:ind w:right="399" w:firstLine="747"/>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Unadjusted Consolidated EBITDA</w:t>
      </w:r>
      <w:r>
        <w:rPr>
          <w:rFonts w:ascii="Times New Roman" w:cs="Times New Roman" w:eastAsia="Times New Roman" w:hAnsi="Times New Roman"/>
          <w:sz w:val="21"/>
          <w:szCs w:val="21"/>
          <w:color w:val="auto"/>
        </w:rPr>
        <w:t xml:space="preserve">” means, for any period, the sum of (without duplication, and without giving effect to any extraordinary losses or gains during such period) the following determined on a consolidated basis: (a) Consolidated Net Income during such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to the extent, other than in the case of clauses (b)(ix), (b)(xii) and (b)(xiii), deducted in determining Consolidated Net Income in such period and without duplication: (i) income and franchise taxes paid or accrued, (ii) Consolidated Interest Expense, (iii) amortization and depreciation, (iv) any non-cash losses, charges, expenses, impairments and/or write-downs resulting from the application of ASC Topic 815 (formerly FAS 133), ASC Topic 410 (formerly FAS 143) or ASC Topic 360 (formerly FAS 144), (v) any other non-cash losses, charges, expenses, impairments and/or write-downs reducing Consolidated Net Income for such period but excluding, in each case, any such non-cash charge, loss or expense to the extent that it represents an accrual of or reserve for cash expenditures in any future period, but including (and not limited to) expenses related to stock-based compensation, hedging, ceiling test write-downs or impairments, Restricted Payments in connection with the Equity Interests owned by directors and employees of the Borrower and its Subsidiaries, (vi) extraordinary, unusual or non-recurring costs, expenses or losses, (vii) Transaction Expenses, (viii) the actual, reasonable and documented transaction costs, expenses, fees and charges incurred with respect to any Investment, non-ordinary course acquisition, non-ordinary course Disposition, issuance of Equity Interests, recapitalization, refinancing or the incurrence, refinance or repayment of Indebtedness permitted to be incurred in this Agreement (in each case, including, without limitation, legal fees, title, environmental and other third-party due diligence costs, transition overhead, pre-close overhead paid to the seller as a purchase price adjustment, and new software implementation costs and severance costs);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amount added back in the determination of Unadjusted Consolidated EBITDA pursuant to this clause (viii) shall not exceed $5,000,000 in any Rolling Period, (ix) operating expense reductions and other operating improvements or synergies (other than revenue</w:t>
      </w:r>
    </w:p>
    <w:p>
      <w:pPr>
        <w:spacing w:after="0" w:line="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76" w:name="page77"/>
    <w:bookmarkEnd w:id="76"/>
    <w:p>
      <w:pPr>
        <w:jc w:val="both"/>
        <w:ind w:right="399"/>
        <w:spacing w:after="0" w:line="242" w:lineRule="auto"/>
        <w:rPr>
          <w:sz w:val="20"/>
          <w:szCs w:val="20"/>
          <w:color w:val="auto"/>
        </w:rPr>
      </w:pPr>
      <w:r>
        <w:rPr>
          <w:rFonts w:ascii="Times New Roman" w:cs="Times New Roman" w:eastAsia="Times New Roman" w:hAnsi="Times New Roman"/>
          <w:sz w:val="21"/>
          <w:szCs w:val="21"/>
          <w:color w:val="auto"/>
        </w:rPr>
        <w:t xml:space="preserve">synergies) projected by the Borrower in good faith to result from completed acquisitions or dispositions that are reasonably identifiable and factually supportable, in each case to be realized within twelve (12) months following such acquisition, disposition or operational change;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aggregate amount added back in the determination of Unadjusted Consolidated EBITDA pursuant to this clause (ix) shall not exceed 10% of Unadjusted Consolidated EBITDA for such Rolling Period (determined after giving effect to the add-back pursuant to this clause (ix)), (x) insurance proceeds received or actual reimbursement by an insurer for any expenses or losses with respect to liability or Casualty Events, to the extent such expenses or losses were deducted in determining Consolidated Net Income for such period, (xi) insurance proceeds or reimbursements reasonably expected to be received within one ninety (90) days of the end of such period, to the extent such expenses or losses were deducted in determining Consolidated Net Income for such period, (xii) proceeds from business interruption insurance actually received during such period (to the extent not already included in Consolidated Net Income for such period) and (xiii) to the extent that actual cash received during such period with respect to any contract or contracts exceeded the amount of revenue recognized during such period under ASC Topic 606 (or any successor provision) with respect to such contract or contracts, the amount of such excess,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(c) the sum of the following, without duplication, to the extent included in determining Consolidated Net Income for such period, (i) any non-cash income included in Consolidated Net Income, (ii) any extraordinary or unusual items increasing Consolidated Net Income for such period, (iii) all income tax credits to the extent such credits increase Consolidated Net Income for such period, (iv) an amount equal to the amount added to Unadjusted Consolidated EBITDA in the prior fiscal quarter pursuant to clause (b)(xi) of this definition in respect of insurance proceeds that were not actually received by the Loan Parties within ninety (90) days of the end of such fiscal quarter and (v) to the extent that the amount of revenue recognized during such period under ASC Topic 606 (or any successor provision) with respect to any contract or contracts exceeded the actual cash received during such period with respect to such contract or contracts, the amount of such excess. For the purposes of calculating Unadjusted Consolidated EBITDA for any Reference Period in connection with any determination of the financial ratio contained in </w:t>
      </w:r>
      <w:r>
        <w:rPr>
          <w:rFonts w:ascii="Times New Roman" w:cs="Times New Roman" w:eastAsia="Times New Roman" w:hAnsi="Times New Roman"/>
          <w:sz w:val="21"/>
          <w:szCs w:val="21"/>
          <w:u w:val="single" w:color="auto"/>
          <w:color w:val="auto"/>
        </w:rPr>
        <w:t>Section 9.01(a)</w:t>
      </w:r>
      <w:r>
        <w:rPr>
          <w:rFonts w:ascii="Times New Roman" w:cs="Times New Roman" w:eastAsia="Times New Roman" w:hAnsi="Times New Roman"/>
          <w:sz w:val="21"/>
          <w:szCs w:val="21"/>
          <w:color w:val="auto"/>
        </w:rPr>
        <w:t>, if at any time during such Reference Period the Borrower or any Restricted Subsidiary shall have made any Material Disposition or Material Acquisition or designated a Subsidiary as Unrestricted Subsidiary or a Restricted Subsidiary, Unadjusted Consolidated EBITDA for such Reference Period shall be calculated on a Pro Forma Basis.</w:t>
      </w:r>
    </w:p>
    <w:p>
      <w:pPr>
        <w:spacing w:after="0" w:line="200" w:lineRule="exact"/>
        <w:rPr>
          <w:sz w:val="20"/>
          <w:szCs w:val="20"/>
          <w:color w:val="auto"/>
        </w:rPr>
      </w:pPr>
    </w:p>
    <w:p>
      <w:pPr>
        <w:spacing w:after="0" w:line="245" w:lineRule="exact"/>
        <w:rPr>
          <w:sz w:val="20"/>
          <w:szCs w:val="20"/>
          <w:color w:val="auto"/>
        </w:rPr>
      </w:pPr>
    </w:p>
    <w:p>
      <w:pPr>
        <w:ind w:right="111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Uniform Commercial Code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 the Uniform Commercial Code as in effect in the applicable jurisdiction, as the same may be amended from time to time.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 the United States of America.</w:t>
      </w:r>
    </w:p>
    <w:p>
      <w:pPr>
        <w:spacing w:after="0" w:line="206"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 Person</w:t>
      </w:r>
      <w:r>
        <w:rPr>
          <w:rFonts w:ascii="Times New Roman" w:cs="Times New Roman" w:eastAsia="Times New Roman" w:hAnsi="Times New Roman"/>
          <w:sz w:val="22"/>
          <w:szCs w:val="22"/>
          <w:color w:val="auto"/>
        </w:rPr>
        <w:t>” means any United States citizen, lawful permanent resident, entity organized under the laws of the United States or any jurisdiction within the United States, including any foreign branch of any such entity, or any Person in the United States.</w:t>
      </w:r>
    </w:p>
    <w:p>
      <w:pPr>
        <w:spacing w:after="0" w:line="173"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Cash</w:t>
      </w:r>
      <w:r>
        <w:rPr>
          <w:rFonts w:ascii="Times New Roman" w:cs="Times New Roman" w:eastAsia="Times New Roman" w:hAnsi="Times New Roman"/>
          <w:sz w:val="22"/>
          <w:szCs w:val="22"/>
          <w:color w:val="auto"/>
        </w:rPr>
        <w:t xml:space="preserve">” means cash or Cash Equivalents of the Loan Parties that would not appear as “restricted” on a consolidated balance sheet of the Borrower in accordance with GAAP;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cash or Cash Equivalents that would appear as “restricted” on a consolidated balance sheet of the Borrower or any of its Restricted Subsidiaries solely because such cash or Cash</w:t>
      </w:r>
    </w:p>
    <w:p>
      <w:pPr>
        <w:spacing w:after="0" w:line="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color w:val="auto"/>
        </w:rPr>
        <w:t>Equivalents are subject to an Account Control Agreement shall constitute Unrestricted Cash hereunder.</w:t>
      </w:r>
    </w:p>
    <w:p>
      <w:pPr>
        <w:spacing w:after="0" w:line="206"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Subsidiary</w:t>
      </w:r>
      <w:r>
        <w:rPr>
          <w:rFonts w:ascii="Times New Roman" w:cs="Times New Roman" w:eastAsia="Times New Roman" w:hAnsi="Times New Roman"/>
          <w:sz w:val="22"/>
          <w:szCs w:val="22"/>
          <w:color w:val="auto"/>
        </w:rPr>
        <w:t xml:space="preserve">” means, individually or collectively as the context requires, (a) any Subsidiary designated in writing to the Administrative Agent to be, and which constitutes, an “Unrestricted Subsidiary” in accordance with </w:t>
      </w:r>
      <w:r>
        <w:rPr>
          <w:rFonts w:ascii="Times New Roman" w:cs="Times New Roman" w:eastAsia="Times New Roman" w:hAnsi="Times New Roman"/>
          <w:sz w:val="22"/>
          <w:szCs w:val="22"/>
          <w:u w:val="single" w:color="auto"/>
          <w:color w:val="auto"/>
        </w:rPr>
        <w:t>Section 8.17</w:t>
      </w:r>
      <w:r>
        <w:rPr>
          <w:rFonts w:ascii="Times New Roman" w:cs="Times New Roman" w:eastAsia="Times New Roman" w:hAnsi="Times New Roman"/>
          <w:sz w:val="22"/>
          <w:szCs w:val="22"/>
          <w:color w:val="auto"/>
        </w:rPr>
        <w:t>, and (b) any Subsidiary of an Unrestricted Subsidiary. As of the Effective Date, the Borrower does not have any Unrestricted Subsidiaries.</w:t>
      </w:r>
    </w:p>
    <w:p>
      <w:pPr>
        <w:spacing w:after="0" w:line="180"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Availability</w:t>
      </w:r>
      <w:r>
        <w:rPr>
          <w:rFonts w:ascii="Times New Roman" w:cs="Times New Roman" w:eastAsia="Times New Roman" w:hAnsi="Times New Roman"/>
          <w:sz w:val="22"/>
          <w:szCs w:val="22"/>
          <w:color w:val="auto"/>
        </w:rPr>
        <w:t xml:space="preserve">” means, at any time of determination, an amount equal to (a) the aggregate amount of the Commitments at such time (but only to the extent the Borrower is permitted to borrow such amount at such time under the terms of this Agreement, including, without limitation,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aggregate Revolving Credit Exposure at such time.</w:t>
      </w:r>
    </w:p>
    <w:p>
      <w:pPr>
        <w:spacing w:after="0" w:line="180"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w:t>
      </w:r>
      <w:r>
        <w:rPr>
          <w:rFonts w:ascii="Times New Roman" w:cs="Times New Roman" w:eastAsia="Times New Roman" w:hAnsi="Times New Roman"/>
          <w:sz w:val="22"/>
          <w:szCs w:val="22"/>
          <w:u w:val="single" w:color="auto"/>
          <w:color w:val="auto"/>
        </w:rPr>
        <w:t>Sections 2.03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in each case, such day is also a Business Day.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12.20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Tax Compliance Certificate</w:t>
      </w:r>
      <w:r>
        <w:rPr>
          <w:rFonts w:ascii="Times New Roman" w:cs="Times New Roman" w:eastAsia="Times New Roman" w:hAnsi="Times New Roman"/>
          <w:sz w:val="21"/>
          <w:szCs w:val="21"/>
          <w:color w:val="auto"/>
        </w:rPr>
        <w:t xml:space="preserve">” has the meaning assigned to such term in </w:t>
      </w:r>
      <w:r>
        <w:rPr>
          <w:rFonts w:ascii="Times New Roman" w:cs="Times New Roman" w:eastAsia="Times New Roman" w:hAnsi="Times New Roman"/>
          <w:sz w:val="21"/>
          <w:szCs w:val="21"/>
          <w:u w:val="single" w:color="auto"/>
          <w:color w:val="auto"/>
        </w:rPr>
        <w:t>Section 5.03(f)(ii)(B)</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right="1199"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Wells Fargo</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158" w:lineRule="exact"/>
        <w:rPr>
          <w:sz w:val="20"/>
          <w:szCs w:val="20"/>
          <w:color w:val="auto"/>
        </w:rPr>
      </w:pPr>
    </w:p>
    <w:p>
      <w:pPr>
        <w:jc w:val="both"/>
        <w:ind w:right="399" w:firstLine="74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Wholly-Owned</w:t>
      </w:r>
      <w:r>
        <w:rPr>
          <w:rFonts w:ascii="Times New Roman" w:cs="Times New Roman" w:eastAsia="Times New Roman" w:hAnsi="Times New Roman"/>
          <w:sz w:val="21"/>
          <w:szCs w:val="21"/>
          <w:color w:val="auto"/>
        </w:rPr>
        <w:t>” means, with respect to a Subsidiary, that all of the outstanding Equity Interests of such Subsidiary, on a fully-diluted basis (other than any directors’ qualifying shares required by applicable law to be owned by another Person), are owned by (a) the Borrower, (b) one or more of the Borrower’s Wholly-Owned Subsidiaries, or (c) the Borrower and one or more of its Wholly-Owned Subsidiaries.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means any Loan Party or the Administrative Agent.</w:t>
      </w:r>
    </w:p>
    <w:p>
      <w:pPr>
        <w:spacing w:after="0" w:line="206" w:lineRule="exact"/>
        <w:rPr>
          <w:sz w:val="20"/>
          <w:szCs w:val="20"/>
          <w:color w:val="auto"/>
        </w:rPr>
      </w:pPr>
    </w:p>
    <w:p>
      <w:pPr>
        <w:jc w:val="both"/>
        <w:ind w:right="399" w:firstLine="74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xml:space="preserve"> ”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78" w:name="page79"/>
    <w:bookmarkEnd w:id="78"/>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Types of Loans and Borrowings</w:t>
      </w:r>
      <w:r>
        <w:rPr>
          <w:rFonts w:ascii="Times New Roman" w:cs="Times New Roman" w:eastAsia="Times New Roman" w:hAnsi="Times New Roman"/>
          <w:sz w:val="22"/>
          <w:szCs w:val="22"/>
          <w:color w:val="auto"/>
        </w:rPr>
        <w:t>. For purposes of this Agreement, Loans may be classified and referred to by Type (e.g., a “</w:t>
      </w:r>
      <w:r>
        <w:rPr>
          <w:rFonts w:ascii="Times New Roman" w:cs="Times New Roman" w:eastAsia="Times New Roman" w:hAnsi="Times New Roman"/>
          <w:sz w:val="22"/>
          <w:szCs w:val="22"/>
          <w:u w:val="single" w:color="auto"/>
          <w:color w:val="auto"/>
        </w:rPr>
        <w:t>SOFR Loan</w:t>
      </w:r>
      <w:r>
        <w:rPr>
          <w:rFonts w:ascii="Times New Roman" w:cs="Times New Roman" w:eastAsia="Times New Roman" w:hAnsi="Times New Roman"/>
          <w:sz w:val="22"/>
          <w:szCs w:val="22"/>
          <w:color w:val="auto"/>
        </w:rPr>
        <w:t>”) and Borrowings may be classified and referred to by Type (e.g., a “</w:t>
      </w:r>
      <w:r>
        <w:rPr>
          <w:rFonts w:ascii="Times New Roman" w:cs="Times New Roman" w:eastAsia="Times New Roman" w:hAnsi="Times New Roman"/>
          <w:sz w:val="22"/>
          <w:szCs w:val="22"/>
          <w:u w:val="single" w:color="auto"/>
          <w:color w:val="auto"/>
        </w:rPr>
        <w:t>SOFR Borrowing</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379" w:firstLine="747"/>
        <w:spacing w:after="0" w:line="243"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Terms Generally; Rules of Construction</w:t>
      </w:r>
      <w:r>
        <w:rPr>
          <w:rFonts w:ascii="Times New Roman" w:cs="Times New Roman" w:eastAsia="Times New Roman" w:hAnsi="Times New Roman"/>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as used in this Agreement shall be deemed to be followed by the phrase “without limitation”. The word “will” as used in this Agreement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(subject to any restrictions on such amendments, restatements, supplements or modifications set forth in the Loan Documents), (b) any reference in the Loan Documents to any law or regulation shall be construed, unless otherwise specified, as referring to such law or regulation as amended, modified, supplemented, codified or reenacted, in whole or in part, and in effect from time to time, (c) any reference in the Loan Documents to any Person shall be construed to include such Person’s successors and assigns (subject to the restrictions contained in the Loan Documents), (d) the words “herein”, “hereof” and “hereunder”, and words of similar import, shall be construed to refer to this Agreement in its entirety and not to any particular provision hereof, (e) with respect to the determination of any time period, the word “from” as used in this Agreement means “from and including” and the word “to” means “to and including” and (f) any reference herein to Articles, Sections, Annexes, Exhibits and Schedules shall be construed to refer to Articles and Sections of, and Annexes, Exhibits and Schedules to, this Agreement. No provision of this Agreement or any other Loan Document shall be interpreted or construed against any Person solely because such Person or its legal representative drafted such provision.</w:t>
      </w:r>
    </w:p>
    <w:p>
      <w:pPr>
        <w:spacing w:after="0" w:line="200" w:lineRule="exact"/>
        <w:rPr>
          <w:sz w:val="20"/>
          <w:szCs w:val="20"/>
          <w:color w:val="auto"/>
        </w:rPr>
      </w:pPr>
    </w:p>
    <w:p>
      <w:pPr>
        <w:spacing w:after="0" w:line="229" w:lineRule="exact"/>
        <w:rPr>
          <w:sz w:val="20"/>
          <w:szCs w:val="20"/>
          <w:color w:val="auto"/>
        </w:rPr>
      </w:pPr>
    </w:p>
    <w:p>
      <w:pPr>
        <w:jc w:val="both"/>
        <w:ind w:right="399" w:firstLine="747"/>
        <w:spacing w:after="0" w:line="231"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Accounting Terms and Determinations; GAAP</w:t>
      </w:r>
      <w:r>
        <w:rPr>
          <w:rFonts w:ascii="Times New Roman" w:cs="Times New Roman" w:eastAsia="Times New Roman" w:hAnsi="Times New Roman"/>
          <w:sz w:val="22"/>
          <w:szCs w:val="22"/>
          <w:color w:val="auto"/>
        </w:rPr>
        <w:t xml:space="preserve">. Unless otherwise specified herein, all accounting terms used herein shall be interpreted, all determinations with respect to accounting matters hereunder shall be made, and all financial statements and certificates and reports as to financial matters required to be furnished to the Administrative Agent or the Lenders hereunder shall be prepared, in accordance with GAAP, applied on a basis consistent with the Financial Statements except for changes in which the Borrower’s independent certified public accountants concur and which are disclosed to the Administrative Agent on the next date on which financial statements are required to be delivered to the Lenders pursuant to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the Borrower and the Required Lenders shall otherwise agree in writing, no such change shall modify or affect the manner in which compliance with the covenants contained herein is computed such that all such computations shall be conducted utilizing financial information presented consistently with prior periods. Notwithstanding anything herein to the contrary, for the purposes of calculating the Consolidated Net Leverage Ratio and the Consolidated Interest Coverage Ratio, and the components of each of such ratios, all Unrestricted Subsidiaries, and their subsidiaries (including their assets, liabilities, income, losses, cash flows, and the elements thereof) shall be excluded, except for any cash dividends or distributions actually paid by any Unrestricted Subsidiary or any of its subsidiaries to the Borrower or any Restricted Subsidiary, which shall be deemed to be income to the Borrower or such Restricted Subsidiary when actually received by it. Notwithstanding anything herein to the contrary, unless otherwise</w:t>
      </w:r>
    </w:p>
    <w:p>
      <w:pPr>
        <w:spacing w:after="0" w:line="1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79" w:name="page80"/>
    <w:bookmarkEnd w:id="79"/>
    <w:p>
      <w:pPr>
        <w:jc w:val="both"/>
        <w:ind w:right="399"/>
        <w:spacing w:after="0" w:line="233" w:lineRule="auto"/>
        <w:rPr>
          <w:sz w:val="20"/>
          <w:szCs w:val="20"/>
          <w:color w:val="auto"/>
        </w:rPr>
      </w:pPr>
      <w:r>
        <w:rPr>
          <w:rFonts w:ascii="Times New Roman" w:cs="Times New Roman" w:eastAsia="Times New Roman" w:hAnsi="Times New Roman"/>
          <w:sz w:val="22"/>
          <w:szCs w:val="22"/>
          <w:color w:val="auto"/>
        </w:rPr>
        <w:t xml:space="preserve">expressly stated (including, without limitation, for the purposes of calculating the Consolidated Net Leverage Ratio and the Consolidated Interest Coverage Ratio), (i) all obligations of any Person that are or would have been treated as operating leases for purposes of GAAP prior to the effectiveness of FASB ASC 842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FASB ASC 842 (on a prospective or retroactive basis or otherwise) to be treated as Capital Lease Obligations in the financial statements, (ii) all financial statements delivered to the Administrative Agent hereunder shall contain a schedule showing the modifications necessary to reconcile the adjustments made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with such financial statements and (iii) for purposes of determining compliance with any covenant (including the computation of any financial covenant) contained herein, Indebtedness of the Borrower and its Restricted Subsidiaries shall be deemed to be carried at 100% of the outstanding principal amount thereof, and the effects of FASB ASC 825 on financial liabilities shall be disregarded.</w:t>
      </w:r>
    </w:p>
    <w:p>
      <w:pPr>
        <w:spacing w:after="0" w:line="182"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1"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1"/>
          <w:szCs w:val="21"/>
          <w:color w:val="auto"/>
        </w:rPr>
        <w:t xml:space="preserve">Section 1.06 </w:t>
      </w:r>
      <w:r>
        <w:rPr>
          <w:rFonts w:ascii="Times New Roman" w:cs="Times New Roman" w:eastAsia="Times New Roman" w:hAnsi="Times New Roman"/>
          <w:sz w:val="21"/>
          <w:szCs w:val="21"/>
          <w:u w:val="single" w:color="auto"/>
          <w:color w:val="auto"/>
        </w:rPr>
        <w:t>Rates</w:t>
      </w:r>
      <w:r>
        <w:rPr>
          <w:rFonts w:ascii="Times New Roman" w:cs="Times New Roman" w:eastAsia="Times New Roman" w:hAnsi="Times New Roman"/>
          <w:sz w:val="21"/>
          <w:szCs w:val="21"/>
          <w:color w:val="auto"/>
        </w:rPr>
        <w:t>. The Administrative Agent does not warrant or accept any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Section 3.03(c), will be similar to, or produce the same value or economic equivalence of, or have the same volume or liquidity as, the Term SOFR Reference Rate, Term SOFR or any other Benchmark prior to its discontinuance or unavailability, or</w:t>
      </w:r>
    </w:p>
    <w:p>
      <w:pPr>
        <w:spacing w:after="0" w:line="1" w:lineRule="exact"/>
        <w:rPr>
          <w:sz w:val="20"/>
          <w:szCs w:val="20"/>
          <w:color w:val="auto"/>
        </w:rPr>
      </w:pPr>
    </w:p>
    <w:p>
      <w:pPr>
        <w:jc w:val="both"/>
        <w:ind w:right="399" w:firstLine="2"/>
        <w:spacing w:after="0" w:line="230" w:lineRule="auto"/>
        <w:tabs>
          <w:tab w:leader="none" w:pos="31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the Term SOFR Reference Rate or Term SOFR,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80" w:name="page81"/>
    <w:bookmarkEnd w:id="80"/>
    <w:p>
      <w:pPr>
        <w:jc w:val="both"/>
        <w:ind w:right="399" w:firstLine="747"/>
        <w:spacing w:after="0" w:line="255" w:lineRule="auto"/>
        <w:rPr>
          <w:sz w:val="20"/>
          <w:szCs w:val="20"/>
          <w:color w:val="auto"/>
        </w:rPr>
      </w:pPr>
      <w:r>
        <w:rPr>
          <w:rFonts w:ascii="Times New Roman" w:cs="Times New Roman" w:eastAsia="Times New Roman" w:hAnsi="Times New Roman"/>
          <w:sz w:val="21"/>
          <w:szCs w:val="21"/>
          <w:color w:val="auto"/>
        </w:rPr>
        <w:t xml:space="preserve">Section 1.07 </w:t>
      </w:r>
      <w:r>
        <w:rPr>
          <w:rFonts w:ascii="Times New Roman" w:cs="Times New Roman" w:eastAsia="Times New Roman" w:hAnsi="Times New Roman"/>
          <w:sz w:val="21"/>
          <w:szCs w:val="21"/>
          <w:u w:val="single" w:color="auto"/>
          <w:color w:val="auto"/>
        </w:rPr>
        <w:t>Rounding</w:t>
      </w:r>
      <w:r>
        <w:rPr>
          <w:rFonts w:ascii="Times New Roman" w:cs="Times New Roman" w:eastAsia="Times New Roman" w:hAnsi="Times New Roman"/>
          <w:sz w:val="21"/>
          <w:szCs w:val="21"/>
          <w:color w:val="auto"/>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62"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Letter of Credit Amounts</w:t>
      </w:r>
      <w:r>
        <w:rPr>
          <w:rFonts w:ascii="Times New Roman" w:cs="Times New Roman" w:eastAsia="Times New Roman" w:hAnsi="Times New Roman"/>
          <w:sz w:val="22"/>
          <w:szCs w:val="22"/>
          <w:color w:val="auto"/>
        </w:rPr>
        <w:t>. Unless otherwise specified herein, the amount of a Letter of Credit at any time shall be deemed to be the amount of such Letter of Credit available to be drawn at such time; provided that with respect to any Letter of Credit that, by its terms,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17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The Credits</w:t>
      </w:r>
    </w:p>
    <w:p>
      <w:pPr>
        <w:spacing w:after="0" w:line="182"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Subject to the terms and conditions set forth herein, each Lender agrees to make Loans to the Borrower from time to time during the Availability Period in an aggregate principal amount that will not result in (i) such Lender’s Revolving Credit Exposure exceeding such Lender’s Commitment or such Lender’s Applicable Percentage of the Maximum Credit Amount or (ii) the total Revolving Credit Exposures exceeding the Maximum Credit Amount. Within the foregoing limits and subject to the terms and conditions set forth herein, the Borrower may borrow, repay and reborrow the Loans.</w:t>
      </w:r>
    </w:p>
    <w:p>
      <w:pPr>
        <w:spacing w:after="0" w:line="183"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Loans and Borrowings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Borrowings; Several Obligations</w:t>
      </w:r>
      <w:r>
        <w:rPr>
          <w:rFonts w:ascii="Times New Roman" w:cs="Times New Roman" w:eastAsia="Times New Roman" w:hAnsi="Times New Roman"/>
          <w:sz w:val="22"/>
          <w:szCs w:val="22"/>
          <w:color w:val="auto"/>
        </w:rPr>
        <w:t xml:space="preserve">. Each Loan shall be made as part of a Borrowing consisting of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Commitments are several and no Lender shall be responsible for any other Lender’s failure to make Loans as required.</w:t>
      </w:r>
    </w:p>
    <w:p>
      <w:pPr>
        <w:spacing w:after="0" w:line="177"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Types of Loans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each Borrowing shall be comprised entirely of ABR Loans or SOFR Loans as the Borrower may request in accordance herewith. Each Lender at its option may make any SOFR Loan by causing any domestic or foreign branch or Affiliate of such Lender to make such Loan;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w:t>
      </w:r>
    </w:p>
    <w:p>
      <w:pPr>
        <w:spacing w:after="0" w:line="177"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Minimum Amounts; Limitation on Number of Borrowings</w:t>
      </w:r>
      <w:r>
        <w:rPr>
          <w:rFonts w:ascii="Times New Roman" w:cs="Times New Roman" w:eastAsia="Times New Roman" w:hAnsi="Times New Roman"/>
          <w:sz w:val="22"/>
          <w:szCs w:val="22"/>
          <w:color w:val="auto"/>
        </w:rPr>
        <w:t xml:space="preserve">. At the commencement of each Interest Period for any SOFR Borrowing, such Borrowing shall be in an aggregate amount that is an integral multiple of $500,000 and not less than $1,000,000. At the time that each ABR Borrowing is made, such Borrowing shall be in an aggregate amount that is an integral multiple of $100,000 and not less than $500,000;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 ABR Borrowing may be in an aggregate amount that is equal to the entire unused balance of the Maximum Credit Amount or that is required to finance the reimbursement of an LC Disbursement as contemplated</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81" w:name="page82"/>
    <w:bookmarkEnd w:id="81"/>
    <w:p>
      <w:pPr>
        <w:jc w:val="both"/>
        <w:ind w:right="399"/>
        <w:spacing w:after="0" w:line="238" w:lineRule="auto"/>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Section 2.07(e)</w:t>
      </w:r>
      <w:r>
        <w:rPr>
          <w:rFonts w:ascii="Times New Roman" w:cs="Times New Roman" w:eastAsia="Times New Roman" w:hAnsi="Times New Roman"/>
          <w:sz w:val="22"/>
          <w:szCs w:val="22"/>
          <w:color w:val="auto"/>
        </w:rPr>
        <w:t xml:space="preserve">. Borrowings of more than one Type may be outstanding at the same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shall not at any time be more than a total of ten (10) SOFR Borrowings outstanding. Notwithstanding any other provision of this Agreement, the Borrower shall not be entitled to request, or to elect to convert or continue, any Borrowing if the Interest Period requested with respect thereto would end after the Maturity Date.</w:t>
      </w:r>
    </w:p>
    <w:p>
      <w:pPr>
        <w:spacing w:after="0" w:line="181"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1"/>
          <w:szCs w:val="21"/>
          <w:color w:val="auto"/>
        </w:rPr>
        <w:t>(d)</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xml:space="preserve">. The Loans made by each Lender, if requested by such Lender, shall be evidenced by a single promissory note of the Borrower in substantially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dated, in the case of (i) any Lender party hereto as of the date of this Agreement, as of the date of this Agreement, or (ii) any Lender that becomes a party hereto pursuant to an Assignment and Assumption or an Additional Lender Agreement, as of the effective date of the Assignment and Assumption or the Additional Lender Agreement, as the case may be, payable to such Lender or its registered assigns in a principal amount equal to its Commitment and otherwise duly completed. In the event that any Lender’s Commitment increases or decreases for any reason (whether pursuant to </w:t>
      </w:r>
      <w:r>
        <w:rPr>
          <w:rFonts w:ascii="Times New Roman" w:cs="Times New Roman" w:eastAsia="Times New Roman" w:hAnsi="Times New Roman"/>
          <w:sz w:val="21"/>
          <w:szCs w:val="21"/>
          <w:u w:val="single" w:color="auto"/>
          <w:color w:val="auto"/>
        </w:rPr>
        <w:t>Sections 2.06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12.04(a)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12.04(b)</w:t>
      </w:r>
      <w:r>
        <w:rPr>
          <w:rFonts w:ascii="Times New Roman" w:cs="Times New Roman" w:eastAsia="Times New Roman" w:hAnsi="Times New Roman"/>
          <w:sz w:val="21"/>
          <w:szCs w:val="21"/>
          <w:color w:val="auto"/>
        </w:rPr>
        <w:t xml:space="preserve"> or otherwise), if requested by such Lender, the Borrower shall deliver or cause to be delivered on the effective date of such increase or decrease, a new Note payable to such Lender or its registered assigns in a principal amount equal to its Commitment after giving effect to such increase or decrease, and otherwise duly completed. The date, amount, Type, interest rate and, if applicable, Interest Period of each Loan made by each Lender, and all payments made on account of the principal thereof, shall be recorded by such Lender on its books for its applicable Note, and, prior to any transfer, may be recorded by such Lender on a schedule attached to such Note or any continuation thereof or on any separate record maintained by such Lender. Failure to make any such notation or to attach a schedule shall not affect any Lender’s or the Borrower’s rights or obligations in respect of such Loans or affect the validity of such transfer by any Lender of its Note.</w:t>
      </w:r>
    </w:p>
    <w:p>
      <w:pPr>
        <w:spacing w:after="0" w:line="173"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1"/>
          <w:szCs w:val="21"/>
          <w:color w:val="auto"/>
        </w:rPr>
        <w:t xml:space="preserve">Section 2.03 </w:t>
      </w:r>
      <w:r>
        <w:rPr>
          <w:rFonts w:ascii="Times New Roman" w:cs="Times New Roman" w:eastAsia="Times New Roman" w:hAnsi="Times New Roman"/>
          <w:sz w:val="21"/>
          <w:szCs w:val="21"/>
          <w:u w:val="single" w:color="auto"/>
          <w:color w:val="auto"/>
        </w:rPr>
        <w:t>Requests for Borrowings</w:t>
      </w:r>
      <w:r>
        <w:rPr>
          <w:rFonts w:ascii="Times New Roman" w:cs="Times New Roman" w:eastAsia="Times New Roman" w:hAnsi="Times New Roman"/>
          <w:sz w:val="21"/>
          <w:szCs w:val="21"/>
          <w:color w:val="auto"/>
        </w:rPr>
        <w:t xml:space="preserve">. To request a Borrowing, the Borrower shall notify the Administrative Agent of such request by email or telephone (a) in the case of a SOFR Borrowing, not later than 11:00 a.m., Dallas, Texas time, three (3) U.S. Government Securities Business Days before the date of the proposed SOFR Borrowing (or, in the case of a SOFR Borrowing on the Effective Date, one (1) U.S. Government Securities Business Day prior to the Effective Date) or (b) in the case of an ABR Borrowing, not later than 10:00 a.m., Dallas, Texas time, on the date of the proposed Borrowing;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(x) no such notice shall be required for any deemed request of an ABR Borrowing to finance the reimbursement of an LC Disbursement as provided in </w:t>
      </w:r>
      <w:r>
        <w:rPr>
          <w:rFonts w:ascii="Times New Roman" w:cs="Times New Roman" w:eastAsia="Times New Roman" w:hAnsi="Times New Roman"/>
          <w:sz w:val="21"/>
          <w:szCs w:val="21"/>
          <w:u w:val="single" w:color="auto"/>
          <w:color w:val="auto"/>
        </w:rPr>
        <w:t>Section 2.07(e)</w:t>
      </w:r>
      <w:r>
        <w:rPr>
          <w:rFonts w:ascii="Times New Roman" w:cs="Times New Roman" w:eastAsia="Times New Roman" w:hAnsi="Times New Roman"/>
          <w:sz w:val="21"/>
          <w:szCs w:val="21"/>
          <w:color w:val="auto"/>
        </w:rPr>
        <w:t xml:space="preserve"> and (y) the notice for SOFR Borrowings, if any, to be made prior to the third U.S. Government Securities Business Day after the Effective Date may be delivered within one (1) U.S. Government Securities Business Day prior to the Effective Date. Each such Borrowing Request shall be irrevocable, and each such telephonic Borrowing Request shall be confirmed promptly by hand delivery, facsimile or email to the Administrative Agent of a written Borrowing Request in substantially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and signed by the Borrower. Each such telephonic and written Borrowing Request shall specify the following information in compliance with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ind w:left="1500" w:hanging="749"/>
        <w:spacing w:after="0"/>
        <w:tabs>
          <w:tab w:leader="none" w:pos="15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requested Borrowing;</w:t>
      </w:r>
    </w:p>
    <w:p>
      <w:pPr>
        <w:spacing w:after="0" w:line="206" w:lineRule="exact"/>
        <w:rPr>
          <w:rFonts w:ascii="Times New Roman" w:cs="Times New Roman" w:eastAsia="Times New Roman" w:hAnsi="Times New Roman"/>
          <w:sz w:val="22"/>
          <w:szCs w:val="22"/>
          <w:color w:val="auto"/>
        </w:rPr>
      </w:pPr>
    </w:p>
    <w:p>
      <w:pPr>
        <w:ind w:left="1500" w:hanging="749"/>
        <w:spacing w:after="0"/>
        <w:tabs>
          <w:tab w:leader="none" w:pos="15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Business Day;</w:t>
      </w:r>
    </w:p>
    <w:p>
      <w:pPr>
        <w:spacing w:after="0" w:line="200" w:lineRule="exact"/>
        <w:rPr>
          <w:sz w:val="20"/>
          <w:szCs w:val="20"/>
          <w:color w:val="auto"/>
        </w:rPr>
      </w:pPr>
    </w:p>
    <w:p>
      <w:pPr>
        <w:spacing w:after="0" w:line="2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669925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48" w:right="1440" w:bottom="1440" w:gutter="0" w:footer="0" w:header="0"/>
        </w:sectPr>
      </w:pPr>
    </w:p>
    <w:bookmarkStart w:id="82" w:name="page83"/>
    <w:bookmarkEnd w:id="82"/>
    <w:p>
      <w:pPr>
        <w:ind w:left="1380" w:hanging="629"/>
        <w:spacing w:after="0"/>
        <w:tabs>
          <w:tab w:leader="none" w:pos="13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Borrowing is to be an ABR Borrowing or a SOFR Borrowing</w:t>
      </w:r>
      <w:r>
        <w:rPr>
          <w:rFonts w:ascii="Times New Roman" w:cs="Times New Roman" w:eastAsia="Times New Roman" w:hAnsi="Times New Roman"/>
          <w:sz w:val="17"/>
          <w:szCs w:val="17"/>
          <w:color w:val="auto"/>
        </w:rPr>
        <w:t>;</w:t>
      </w:r>
    </w:p>
    <w:p>
      <w:pPr>
        <w:spacing w:after="0" w:line="206" w:lineRule="exact"/>
        <w:rPr>
          <w:rFonts w:ascii="Times New Roman" w:cs="Times New Roman" w:eastAsia="Times New Roman" w:hAnsi="Times New Roman"/>
          <w:sz w:val="22"/>
          <w:szCs w:val="22"/>
          <w:color w:val="auto"/>
        </w:rPr>
      </w:pPr>
    </w:p>
    <w:p>
      <w:pPr>
        <w:ind w:left="1380" w:right="519" w:hanging="629"/>
        <w:spacing w:after="0" w:line="258" w:lineRule="auto"/>
        <w:tabs>
          <w:tab w:leader="none" w:pos="13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SOFR Borrowing, the initial Interest Period to be applicable thereto, which shall be a period contemplated by the definition of the term “Interest Period”;</w:t>
      </w:r>
    </w:p>
    <w:p>
      <w:pPr>
        <w:spacing w:after="0" w:line="158" w:lineRule="exact"/>
        <w:rPr>
          <w:sz w:val="20"/>
          <w:szCs w:val="20"/>
          <w:color w:val="auto"/>
        </w:rPr>
      </w:pPr>
    </w:p>
    <w:p>
      <w:pPr>
        <w:jc w:val="both"/>
        <w:ind w:left="1380" w:right="399" w:hanging="629"/>
        <w:spacing w:after="0" w:line="244" w:lineRule="auto"/>
        <w:tabs>
          <w:tab w:leader="none" w:pos="13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current total Revolving Credit Exposures (without regard to the requested Borrowing) and the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total Revolving Credit Exposures (giving effect to the requested Borrowing); and</w:t>
      </w:r>
    </w:p>
    <w:p>
      <w:pPr>
        <w:spacing w:after="0" w:line="173" w:lineRule="exact"/>
        <w:rPr>
          <w:rFonts w:ascii="Times New Roman" w:cs="Times New Roman" w:eastAsia="Times New Roman" w:hAnsi="Times New Roman"/>
          <w:sz w:val="22"/>
          <w:szCs w:val="22"/>
          <w:color w:val="auto"/>
        </w:rPr>
      </w:pPr>
    </w:p>
    <w:p>
      <w:pPr>
        <w:ind w:left="1380" w:right="399" w:hanging="629"/>
        <w:spacing w:after="0" w:line="258" w:lineRule="auto"/>
        <w:tabs>
          <w:tab w:leader="none" w:pos="13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location and number of the Borrower’s account to which funds are to be disbursed, which shall comply with the requirements of Section 2.05.</w:t>
      </w:r>
    </w:p>
    <w:p>
      <w:pPr>
        <w:spacing w:after="0" w:line="158" w:lineRule="exact"/>
        <w:rPr>
          <w:sz w:val="20"/>
          <w:szCs w:val="20"/>
          <w:color w:val="auto"/>
        </w:rPr>
      </w:pPr>
    </w:p>
    <w:p>
      <w:pPr>
        <w:jc w:val="both"/>
        <w:ind w:right="399"/>
        <w:spacing w:after="0" w:line="236" w:lineRule="auto"/>
        <w:rPr>
          <w:sz w:val="20"/>
          <w:szCs w:val="20"/>
          <w:color w:val="auto"/>
        </w:rPr>
      </w:pPr>
      <w:r>
        <w:rPr>
          <w:rFonts w:ascii="Times New Roman" w:cs="Times New Roman" w:eastAsia="Times New Roman" w:hAnsi="Times New Roman"/>
          <w:sz w:val="22"/>
          <w:szCs w:val="22"/>
          <w:color w:val="auto"/>
        </w:rPr>
        <w:t xml:space="preserve">If no election as to the Type of Borrowing is specified, then the requested Borrowing shall be an ABR Borrowing. If no Interest Period is specified with respect to any requested SOFR Borrowing, then the Borrower shall be deemed to have selected an Interest Period of one (1) month’s duration. Each Borrowing Request shall constitute a representation that (A) the amount of the requested Borrowing will not cause the total Revolving Credit Exposures to exceed the Maximum Credit Amount, and (B) each condition precedent set forth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has been satisfied with respect to such Borrowing.</w:t>
      </w:r>
    </w:p>
    <w:p>
      <w:pPr>
        <w:spacing w:after="0" w:line="181" w:lineRule="exact"/>
        <w:rPr>
          <w:sz w:val="20"/>
          <w:szCs w:val="20"/>
          <w:color w:val="auto"/>
        </w:rPr>
      </w:pPr>
    </w:p>
    <w:p>
      <w:pPr>
        <w:jc w:val="both"/>
        <w:ind w:right="399"/>
        <w:spacing w:after="0" w:line="244" w:lineRule="auto"/>
        <w:rPr>
          <w:sz w:val="20"/>
          <w:szCs w:val="20"/>
          <w:color w:val="auto"/>
        </w:rPr>
      </w:pPr>
      <w:r>
        <w:rPr>
          <w:rFonts w:ascii="Times New Roman" w:cs="Times New Roman" w:eastAsia="Times New Roman" w:hAnsi="Times New Roman"/>
          <w:sz w:val="22"/>
          <w:szCs w:val="22"/>
          <w:color w:val="auto"/>
        </w:rPr>
        <w:t xml:space="preserve">Promptly following receipt of a Borrowing Request in accordance with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the Administrative Agent shall advise each Lender of the details thereof and of the amount of such Lender’s Loan to be made as part of the requested Borrowing.</w:t>
      </w:r>
    </w:p>
    <w:p>
      <w:pPr>
        <w:spacing w:after="0" w:line="173"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Interest Elections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Conversion and Continuance</w:t>
      </w:r>
      <w:r>
        <w:rPr>
          <w:rFonts w:ascii="Times New Roman" w:cs="Times New Roman" w:eastAsia="Times New Roman" w:hAnsi="Times New Roman"/>
          <w:sz w:val="22"/>
          <w:szCs w:val="22"/>
          <w:color w:val="auto"/>
        </w:rPr>
        <w:t xml:space="preserve">. Each Borrowing initially shall be of the Type specified in the applicable Borrowing Request and, in the case of a SOFR Borrowing, shall have an initial Interest Period as specified in such Borrowing Request. Thereafter, the Borrower may elect to convert such Borrowing to a different Type or to continue such Borrowing and, in the case of a SOFR Borrowing, may elect Interest Periods therefor, all as provided in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78"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Interest Election Requests</w:t>
      </w:r>
      <w:r>
        <w:rPr>
          <w:rFonts w:ascii="Times New Roman" w:cs="Times New Roman" w:eastAsia="Times New Roman" w:hAnsi="Times New Roman"/>
          <w:sz w:val="22"/>
          <w:szCs w:val="22"/>
          <w:color w:val="auto"/>
        </w:rPr>
        <w:t xml:space="preserve">. To make an election pursuant to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the Borrower shall notify the Administrative Agent of such election by telephone or email by the time that a Borrowing Request would be required under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if the Borrower was requesting a Borrowing of the Type resulting from such election to be made on the effective date of such election. Each such telephonic Interest Election Request shall be irrevocable and shall be confirmed promptly by hand delivery, facsimile or email to the Administrative Agent of a written Interest Election Request in substantially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and signed by the Borrower.</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300" w:right="1440" w:bottom="1440" w:gutter="0" w:footer="0" w:header="0"/>
        </w:sectPr>
      </w:pPr>
    </w:p>
    <w:bookmarkStart w:id="83" w:name="page84"/>
    <w:bookmarkEnd w:id="83"/>
    <w:p>
      <w:pPr>
        <w:ind w:right="399" w:firstLine="1498"/>
        <w:spacing w:after="0" w:line="25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Information in Interest Election Requests</w:t>
      </w:r>
      <w:r>
        <w:rPr>
          <w:rFonts w:ascii="Times New Roman" w:cs="Times New Roman" w:eastAsia="Times New Roman" w:hAnsi="Times New Roman"/>
          <w:sz w:val="22"/>
          <w:szCs w:val="22"/>
          <w:color w:val="auto"/>
        </w:rPr>
        <w:t xml:space="preserve">. Each telephonic, email and written Interest Election Request shall specify the following information in compliance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399" w:firstLine="2249"/>
        <w:spacing w:after="0" w:line="239" w:lineRule="auto"/>
        <w:tabs>
          <w:tab w:leader="none" w:pos="262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2.04(c)(ii)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shall be specified for each resulting Borrowing);</w:t>
      </w:r>
    </w:p>
    <w:p>
      <w:pPr>
        <w:spacing w:after="0" w:line="180" w:lineRule="exact"/>
        <w:rPr>
          <w:rFonts w:ascii="Times New Roman" w:cs="Times New Roman" w:eastAsia="Times New Roman" w:hAnsi="Times New Roman"/>
          <w:sz w:val="22"/>
          <w:szCs w:val="22"/>
          <w:color w:val="auto"/>
        </w:rPr>
      </w:pPr>
    </w:p>
    <w:p>
      <w:pPr>
        <w:ind w:right="399" w:firstLine="2249"/>
        <w:spacing w:after="0" w:line="258" w:lineRule="auto"/>
        <w:tabs>
          <w:tab w:leader="none" w:pos="271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election made pursuant to such Interest Election Request, which shall be a Business Day;</w:t>
      </w:r>
    </w:p>
    <w:p>
      <w:pPr>
        <w:spacing w:after="0" w:line="158" w:lineRule="exact"/>
        <w:rPr>
          <w:rFonts w:ascii="Times New Roman" w:cs="Times New Roman" w:eastAsia="Times New Roman" w:hAnsi="Times New Roman"/>
          <w:sz w:val="22"/>
          <w:szCs w:val="22"/>
          <w:color w:val="auto"/>
        </w:rPr>
      </w:pPr>
    </w:p>
    <w:p>
      <w:pPr>
        <w:ind w:left="2780" w:hanging="531"/>
        <w:spacing w:after="0"/>
        <w:tabs>
          <w:tab w:leader="none" w:pos="27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resulting Borrowing is to be an ABR Borrowing or a SOFR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 and</w:t>
      </w:r>
    </w:p>
    <w:p>
      <w:pPr>
        <w:spacing w:after="0" w:line="182" w:lineRule="exact"/>
        <w:rPr>
          <w:rFonts w:ascii="Times New Roman" w:cs="Times New Roman" w:eastAsia="Times New Roman" w:hAnsi="Times New Roman"/>
          <w:sz w:val="22"/>
          <w:szCs w:val="22"/>
          <w:color w:val="auto"/>
        </w:rPr>
      </w:pPr>
    </w:p>
    <w:p>
      <w:pPr>
        <w:jc w:val="both"/>
        <w:ind w:right="399" w:firstLine="2249"/>
        <w:spacing w:after="0" w:line="244" w:lineRule="auto"/>
        <w:tabs>
          <w:tab w:leader="none" w:pos="276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a SOFR Borrowing, the Interest Period to be applicable thereto after giving effect to such election, which shall be a period contemplated by the definition of the term “Interest Period”.</w:t>
      </w:r>
    </w:p>
    <w:p>
      <w:pPr>
        <w:spacing w:after="0" w:line="173" w:lineRule="exact"/>
        <w:rPr>
          <w:sz w:val="20"/>
          <w:szCs w:val="20"/>
          <w:color w:val="auto"/>
        </w:rPr>
      </w:pPr>
    </w:p>
    <w:p>
      <w:pPr>
        <w:jc w:val="both"/>
        <w:ind w:right="399"/>
        <w:spacing w:after="0" w:line="258" w:lineRule="auto"/>
        <w:rPr>
          <w:sz w:val="20"/>
          <w:szCs w:val="20"/>
          <w:color w:val="auto"/>
        </w:rPr>
      </w:pPr>
      <w:r>
        <w:rPr>
          <w:rFonts w:ascii="Times New Roman" w:cs="Times New Roman" w:eastAsia="Times New Roman" w:hAnsi="Times New Roman"/>
          <w:sz w:val="22"/>
          <w:szCs w:val="22"/>
          <w:color w:val="auto"/>
        </w:rPr>
        <w:t>If any such Interest Election Request requests a SOFR Borrowing but does not specify an Interest Period, then the Borrower shall be deemed to have selected an Interest Period of one (1) month’s duration.</w:t>
      </w:r>
    </w:p>
    <w:p>
      <w:pPr>
        <w:spacing w:after="0" w:line="158"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Notice to Lenders by the Administrative Agent</w:t>
      </w:r>
      <w:r>
        <w:rPr>
          <w:rFonts w:ascii="Times New Roman" w:cs="Times New Roman" w:eastAsia="Times New Roman" w:hAnsi="Times New Roman"/>
          <w:sz w:val="22"/>
          <w:szCs w:val="22"/>
          <w:color w:val="auto"/>
        </w:rPr>
        <w:t>. Promptly following receipt of an Interest Election Request, the Administrative Agent shall advise each Lender of the details thereof and of such Lender’s portion of each resulting Borrowing.</w:t>
      </w:r>
    </w:p>
    <w:p>
      <w:pPr>
        <w:spacing w:after="0" w:line="173"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Effect of Failure to Deliver Timely Interest Election Request and Events of Default 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Interest Election</w:t>
      </w:r>
      <w:r>
        <w:rPr>
          <w:rFonts w:ascii="Times New Roman" w:cs="Times New Roman" w:eastAsia="Times New Roman" w:hAnsi="Times New Roman"/>
          <w:sz w:val="22"/>
          <w:szCs w:val="22"/>
          <w:color w:val="auto"/>
        </w:rPr>
        <w:t xml:space="preserve">. If the Borrower fails to deliver a timely Interest Election Request with respect to a SOFR Borrowing prior to the end of the Interest Period applicable thereto, then, unless such Borrowing is repaid as provided herein, at the end of such Interest Period such Borrowing shall be continued as a SOFR Borrowing with a one-month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Interest Period is within one month of the Maturity Date, such Borrowing shall be converted to an ABR Borrowing. Notwithstanding any contrary provision hereof, if an Event of Default has occurred and is continuing and the Administrative Agent, acting at the direction of the Required Lenders, has notified the Borrower in writing that no conversion of outstanding Borrowings into, or continuation as, SOFR Borrowings shall be permitted: (i) no outstanding Borrowing may be converted to or continued as a SOFR Borrowing (and any Interest Election Request that requests the conversion of any Borrowing to, or continuation of any Borrowing as, a SOFR Borrowing shall be ineffective) and (ii) unless repaid, each SOFR Borrowing shall be converted to an ABR Borrowing at the end of the Interest Period applicable thereto.</w:t>
      </w:r>
    </w:p>
    <w:p>
      <w:pPr>
        <w:spacing w:after="0" w:line="182"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Funding of Borrowings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Funding by Lenders</w:t>
      </w:r>
      <w:r>
        <w:rPr>
          <w:rFonts w:ascii="Times New Roman" w:cs="Times New Roman" w:eastAsia="Times New Roman" w:hAnsi="Times New Roman"/>
          <w:sz w:val="22"/>
          <w:szCs w:val="22"/>
          <w:color w:val="auto"/>
        </w:rPr>
        <w:t>. Each Lender shall make each Loan to be made by it hereunder on the proposed date thereof by wire transfer of immediately available funds by 12:00 p.m. (noon), Dallas, Texas time, to the account of the Administrative Agent most recently designated by it for such purpose by notice to the Lenders. The Administrative Agent will make</w:t>
      </w:r>
    </w:p>
    <w:p>
      <w:pPr>
        <w:spacing w:after="0" w:line="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84" w:name="page85"/>
    <w:bookmarkEnd w:id="84"/>
    <w:p>
      <w:pPr>
        <w:jc w:val="both"/>
        <w:ind w:right="399"/>
        <w:spacing w:after="0" w:line="234" w:lineRule="auto"/>
        <w:rPr>
          <w:sz w:val="20"/>
          <w:szCs w:val="20"/>
          <w:color w:val="auto"/>
        </w:rPr>
      </w:pPr>
      <w:r>
        <w:rPr>
          <w:rFonts w:ascii="Times New Roman" w:cs="Times New Roman" w:eastAsia="Times New Roman" w:hAnsi="Times New Roman"/>
          <w:sz w:val="22"/>
          <w:szCs w:val="22"/>
          <w:color w:val="auto"/>
        </w:rPr>
        <w:t xml:space="preserve">such Loans available to the Borrower by promptly (and if such funds are timely received in accordance with the preceding sentence, on the same date that such funds are so received) crediting the amounts so received, in like funds, to an account of the Borrower maintained with the Administrative Agent and designated by the Borrower in the applicable Borrowing Request (or such other account as is acceptable to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ABR Loans made to finance the reimbursement of an LC Disbursement as provided in </w:t>
      </w:r>
      <w:r>
        <w:rPr>
          <w:rFonts w:ascii="Times New Roman" w:cs="Times New Roman" w:eastAsia="Times New Roman" w:hAnsi="Times New Roman"/>
          <w:sz w:val="22"/>
          <w:szCs w:val="22"/>
          <w:u w:val="single" w:color="auto"/>
          <w:color w:val="auto"/>
        </w:rPr>
        <w:t>Section 2.07(e)</w:t>
      </w:r>
      <w:r>
        <w:rPr>
          <w:rFonts w:ascii="Times New Roman" w:cs="Times New Roman" w:eastAsia="Times New Roman" w:hAnsi="Times New Roman"/>
          <w:sz w:val="22"/>
          <w:szCs w:val="22"/>
          <w:color w:val="auto"/>
        </w:rPr>
        <w:t xml:space="preserve"> shall be remitted by the Administrative Agent to the applicable Issuing Bank. Nothing herein shall be deemed to obligate any Lender to obtain the funds for its Loan in any particular place or manner or to constitute a representation by any Lender that it has obtained or will obtain the funds for its Loan in any particular place or manner.</w:t>
      </w:r>
    </w:p>
    <w:p>
      <w:pPr>
        <w:spacing w:after="0" w:line="183" w:lineRule="exact"/>
        <w:rPr>
          <w:sz w:val="20"/>
          <w:szCs w:val="20"/>
          <w:color w:val="auto"/>
        </w:rPr>
      </w:pPr>
    </w:p>
    <w:p>
      <w:pPr>
        <w:jc w:val="both"/>
        <w:ind w:right="399" w:firstLine="1498"/>
        <w:spacing w:after="0" w:line="243"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u w:val="single" w:color="auto"/>
          <w:color w:val="auto"/>
        </w:rPr>
        <w:t>Funding by the Lenders; Presumption by the Administrative Agent</w:t>
      </w:r>
      <w:r>
        <w:rPr>
          <w:rFonts w:ascii="Times New Roman" w:cs="Times New Roman" w:eastAsia="Times New Roman" w:hAnsi="Times New Roman"/>
          <w:sz w:val="21"/>
          <w:szCs w:val="21"/>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1"/>
          <w:szCs w:val="21"/>
          <w:u w:val="single" w:color="auto"/>
          <w:color w:val="auto"/>
        </w:rPr>
        <w:t>Section 2.05(a)</w:t>
      </w:r>
      <w:r>
        <w:rPr>
          <w:rFonts w:ascii="Times New Roman" w:cs="Times New Roman" w:eastAsia="Times New Roman" w:hAnsi="Times New Roman"/>
          <w:sz w:val="21"/>
          <w:szCs w:val="21"/>
          <w:color w:val="auto"/>
        </w:rPr>
        <w:t xml:space="preserve"> and may, in reliance upon such assumption, make available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Federal Funds Effective Rate and a rate determined by the Administrative Agent in accordance with banking industry practices on interbank compensation and (ii) in the case of a payment to be made by the Borrower, the interest rate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7"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u w:val="single" w:color="auto"/>
          <w:color w:val="auto"/>
        </w:rPr>
        <w:t>Termination, Reduction and Increase of Commitments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Scheduled Termination of Commitments</w:t>
      </w:r>
      <w:r>
        <w:rPr>
          <w:rFonts w:ascii="Times New Roman" w:cs="Times New Roman" w:eastAsia="Times New Roman" w:hAnsi="Times New Roman"/>
          <w:sz w:val="22"/>
          <w:szCs w:val="22"/>
          <w:color w:val="auto"/>
        </w:rPr>
        <w:t>. Unless previously terminated, the Commitments shall terminate on the Maturity Date. If at any time the Commitments are terminated or reduced to zero, then the Commitments shall terminate on the effective date of such termination or reduction.</w:t>
      </w:r>
    </w:p>
    <w:p>
      <w:pPr>
        <w:spacing w:after="0" w:line="180" w:lineRule="exact"/>
        <w:rPr>
          <w:sz w:val="20"/>
          <w:szCs w:val="20"/>
          <w:color w:val="auto"/>
        </w:rPr>
      </w:pPr>
    </w:p>
    <w:p>
      <w:pPr>
        <w:ind w:left="2240" w:hanging="740"/>
        <w:spacing w:after="0"/>
        <w:tabs>
          <w:tab w:leader="none" w:pos="22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Termination and Reduction of Commitments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399" w:firstLine="2249"/>
        <w:spacing w:after="0" w:line="235" w:lineRule="auto"/>
        <w:tabs>
          <w:tab w:leader="none" w:pos="262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at any time terminate, or from time to time reduce, the Commitments;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each reduction of the Commitments shall be in an amount that is an integral multiple of $500,000 and not less than $1,000,000 and (B) the Borrower shall not terminate or reduce the Commitments if, (1) after giving effect to any concurrent prepayment of the Loans in accordance with Section 3.04, the total Revolving Credit Exposures</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85" w:name="page86"/>
    <w:bookmarkEnd w:id="85"/>
    <w:p>
      <w:pPr>
        <w:jc w:val="both"/>
        <w:ind w:right="399"/>
        <w:spacing w:after="0" w:line="244" w:lineRule="auto"/>
        <w:rPr>
          <w:sz w:val="20"/>
          <w:szCs w:val="20"/>
          <w:color w:val="auto"/>
        </w:rPr>
      </w:pPr>
      <w:r>
        <w:rPr>
          <w:rFonts w:ascii="Times New Roman" w:cs="Times New Roman" w:eastAsia="Times New Roman" w:hAnsi="Times New Roman"/>
          <w:sz w:val="22"/>
          <w:szCs w:val="22"/>
          <w:color w:val="auto"/>
        </w:rPr>
        <w:t>would exceed the Maximum Credit Amount; or (2) after giving effect to such termination or reduction, the total Commitments would be less than $20,000,000, except in connection with a termination of all of the Commitments.</w:t>
      </w:r>
    </w:p>
    <w:p>
      <w:pPr>
        <w:spacing w:after="0" w:line="173" w:lineRule="exact"/>
        <w:rPr>
          <w:sz w:val="20"/>
          <w:szCs w:val="20"/>
          <w:color w:val="auto"/>
        </w:rPr>
      </w:pPr>
    </w:p>
    <w:p>
      <w:pPr>
        <w:jc w:val="both"/>
        <w:ind w:right="399" w:firstLine="2249"/>
        <w:spacing w:after="0" w:line="234" w:lineRule="auto"/>
        <w:tabs>
          <w:tab w:leader="none" w:pos="262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notify the Administrative Agent of any election to terminate or reduce the Commitments under </w:t>
      </w:r>
      <w:r>
        <w:rPr>
          <w:rFonts w:ascii="Times New Roman" w:cs="Times New Roman" w:eastAsia="Times New Roman" w:hAnsi="Times New Roman"/>
          <w:sz w:val="22"/>
          <w:szCs w:val="22"/>
          <w:u w:val="single" w:color="auto"/>
          <w:color w:val="auto"/>
        </w:rPr>
        <w:t>Section 2.06(b)(i)</w:t>
      </w:r>
      <w:r>
        <w:rPr>
          <w:rFonts w:ascii="Times New Roman" w:cs="Times New Roman" w:eastAsia="Times New Roman" w:hAnsi="Times New Roman"/>
          <w:sz w:val="22"/>
          <w:szCs w:val="22"/>
          <w:color w:val="auto"/>
        </w:rPr>
        <w:t xml:space="preserve">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w:t>
      </w:r>
      <w:r>
        <w:rPr>
          <w:rFonts w:ascii="Times New Roman" w:cs="Times New Roman" w:eastAsia="Times New Roman" w:hAnsi="Times New Roman"/>
          <w:sz w:val="22"/>
          <w:szCs w:val="22"/>
          <w:u w:val="single" w:color="auto"/>
          <w:color w:val="auto"/>
        </w:rPr>
        <w:t>Section 2.06(b)(ii)</w:t>
      </w:r>
      <w:r>
        <w:rPr>
          <w:rFonts w:ascii="Times New Roman" w:cs="Times New Roman" w:eastAsia="Times New Roman" w:hAnsi="Times New Roman"/>
          <w:sz w:val="22"/>
          <w:szCs w:val="22"/>
          <w:color w:val="auto"/>
        </w:rPr>
        <w:t xml:space="preserve"> shall be irrevocable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 notice of termination of the Commitments delivered by the Borrower may state that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is conditioned upon the effectiveness of other credit facilities or the consummation of another specified transaction, in which case such notice may be revoked by the Borrower by notice to the Administrative Agent on or prior to the specified effective date of such termination if such condition is not otherwise satisfied.</w:t>
      </w:r>
    </w:p>
    <w:p>
      <w:pPr>
        <w:spacing w:after="0" w:line="179"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Termination and Reductions of Commitments</w:t>
      </w:r>
      <w:r>
        <w:rPr>
          <w:rFonts w:ascii="Times New Roman" w:cs="Times New Roman" w:eastAsia="Times New Roman" w:hAnsi="Times New Roman"/>
          <w:sz w:val="22"/>
          <w:szCs w:val="22"/>
          <w:color w:val="auto"/>
        </w:rPr>
        <w:t>. Any termination or reduction of the Commitments shall be permanent and may not be reinstated. Each reduction of the Commitments shall be made ratably among the Lenders in accordance with each Lender’s Applicable Percentage.</w:t>
      </w:r>
    </w:p>
    <w:p>
      <w:pPr>
        <w:spacing w:after="0" w:line="173" w:lineRule="exact"/>
        <w:rPr>
          <w:sz w:val="20"/>
          <w:szCs w:val="20"/>
          <w:color w:val="auto"/>
        </w:rPr>
      </w:pPr>
    </w:p>
    <w:p>
      <w:pPr>
        <w:ind w:left="2240" w:hanging="740"/>
        <w:spacing w:after="0"/>
        <w:tabs>
          <w:tab w:leader="none" w:pos="22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Increase in Commitments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379" w:firstLine="2249"/>
        <w:spacing w:after="0" w:line="235" w:lineRule="auto"/>
        <w:tabs>
          <w:tab w:leader="none" w:pos="262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conditions set forth in </w:t>
      </w:r>
      <w:r>
        <w:rPr>
          <w:rFonts w:ascii="Times New Roman" w:cs="Times New Roman" w:eastAsia="Times New Roman" w:hAnsi="Times New Roman"/>
          <w:sz w:val="22"/>
          <w:szCs w:val="22"/>
          <w:u w:val="single" w:color="auto"/>
          <w:color w:val="auto"/>
        </w:rPr>
        <w:t>Section 2.06(d)(ii)</w:t>
      </w:r>
      <w:r>
        <w:rPr>
          <w:rFonts w:ascii="Times New Roman" w:cs="Times New Roman" w:eastAsia="Times New Roman" w:hAnsi="Times New Roman"/>
          <w:sz w:val="22"/>
          <w:szCs w:val="22"/>
          <w:color w:val="auto"/>
        </w:rPr>
        <w:t>, the Borrower may increase the Commitments then in effect by increasing the Commitment of any Lender (with such Lender’s consent) or by causing a Person that at such time is not a Lender to become a Lender (each an “</w:t>
      </w:r>
      <w:r>
        <w:rPr>
          <w:rFonts w:ascii="Times New Roman" w:cs="Times New Roman" w:eastAsia="Times New Roman" w:hAnsi="Times New Roman"/>
          <w:sz w:val="22"/>
          <w:szCs w:val="22"/>
          <w:u w:val="single" w:color="auto"/>
          <w:color w:val="auto"/>
        </w:rPr>
        <w:t>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xml:space="preserve">”), subject to the terms and conditions of this </w:t>
      </w:r>
      <w:r>
        <w:rPr>
          <w:rFonts w:ascii="Times New Roman" w:cs="Times New Roman" w:eastAsia="Times New Roman" w:hAnsi="Times New Roman"/>
          <w:sz w:val="22"/>
          <w:szCs w:val="22"/>
          <w:u w:val="single" w:color="auto"/>
          <w:color w:val="auto"/>
        </w:rPr>
        <w:t>Section 2.06(d)</w:t>
      </w:r>
      <w:r>
        <w:rPr>
          <w:rFonts w:ascii="Times New Roman" w:cs="Times New Roman" w:eastAsia="Times New Roman" w:hAnsi="Times New Roman"/>
          <w:sz w:val="22"/>
          <w:szCs w:val="22"/>
          <w:color w:val="auto"/>
        </w:rPr>
        <w:t xml:space="preserve"> (such additional and increased Commitments, the “</w:t>
      </w:r>
      <w:r>
        <w:rPr>
          <w:rFonts w:ascii="Times New Roman" w:cs="Times New Roman" w:eastAsia="Times New Roman" w:hAnsi="Times New Roman"/>
          <w:sz w:val="22"/>
          <w:szCs w:val="22"/>
          <w:u w:val="single" w:color="auto"/>
          <w:color w:val="auto"/>
        </w:rPr>
        <w:t>Additional Commitments</w:t>
      </w:r>
      <w:r>
        <w:rPr>
          <w:rFonts w:ascii="Times New Roman" w:cs="Times New Roman" w:eastAsia="Times New Roman" w:hAnsi="Times New Roman"/>
          <w:sz w:val="22"/>
          <w:szCs w:val="22"/>
          <w:color w:val="auto"/>
        </w:rPr>
        <w:t>”). Notwithstanding anything to the contrary contained in this Agreement, in no case shall an Additional Lender be a natural person (or a holding company, investment vehicle or trust for, or owned and operated for the primary benefit of, a natural person), the Borrower or an Affiliate of the Borrower.</w:t>
      </w:r>
    </w:p>
    <w:p>
      <w:pPr>
        <w:spacing w:after="0" w:line="178" w:lineRule="exact"/>
        <w:rPr>
          <w:rFonts w:ascii="Times New Roman" w:cs="Times New Roman" w:eastAsia="Times New Roman" w:hAnsi="Times New Roman"/>
          <w:sz w:val="22"/>
          <w:szCs w:val="22"/>
          <w:color w:val="auto"/>
        </w:rPr>
      </w:pPr>
    </w:p>
    <w:p>
      <w:pPr>
        <w:ind w:left="3000" w:hanging="751"/>
        <w:spacing w:after="0"/>
        <w:tabs>
          <w:tab w:leader="none" w:pos="30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increase in the Commitments shall be subject to the following</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conditions:</w:t>
      </w:r>
    </w:p>
    <w:p>
      <w:pPr>
        <w:spacing w:after="0" w:line="182" w:lineRule="exact"/>
        <w:rPr>
          <w:rFonts w:ascii="Times New Roman" w:cs="Times New Roman" w:eastAsia="Times New Roman" w:hAnsi="Times New Roman"/>
          <w:sz w:val="22"/>
          <w:szCs w:val="22"/>
          <w:color w:val="auto"/>
        </w:rPr>
      </w:pPr>
    </w:p>
    <w:p>
      <w:pPr>
        <w:ind w:left="3740" w:hanging="742"/>
        <w:spacing w:after="0"/>
        <w:tabs>
          <w:tab w:leader="none" w:pos="3740"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increase shall not be less than $10,000,000 unless the</w:t>
      </w:r>
    </w:p>
    <w:p>
      <w:pPr>
        <w:spacing w:after="0" w:line="14" w:lineRule="exact"/>
        <w:rPr>
          <w:rFonts w:ascii="Times New Roman" w:cs="Times New Roman" w:eastAsia="Times New Roman" w:hAnsi="Times New Roman"/>
          <w:sz w:val="22"/>
          <w:szCs w:val="22"/>
          <w:color w:val="auto"/>
        </w:rPr>
      </w:pPr>
    </w:p>
    <w:p>
      <w:pPr>
        <w:ind w:right="57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Agent otherwise consents, and the aggregate amount of Additional Commitments shall not exceed $150,000,000 during the term of this Agreement;</w:t>
      </w:r>
    </w:p>
    <w:p>
      <w:pPr>
        <w:spacing w:after="0" w:line="178" w:lineRule="exact"/>
        <w:rPr>
          <w:sz w:val="20"/>
          <w:szCs w:val="20"/>
          <w:color w:val="auto"/>
        </w:rPr>
      </w:pPr>
    </w:p>
    <w:p>
      <w:pPr>
        <w:ind w:left="3000"/>
        <w:spacing w:after="0"/>
        <w:tabs>
          <w:tab w:leader="none" w:pos="3840" w:val="left"/>
          <w:tab w:leader="none" w:pos="4700" w:val="left"/>
          <w:tab w:leader="none" w:pos="5560" w:val="left"/>
          <w:tab w:leader="none" w:pos="6440" w:val="left"/>
          <w:tab w:leader="none" w:pos="8160" w:val="left"/>
        </w:tabs>
        <w:rPr>
          <w:sz w:val="20"/>
          <w:szCs w:val="20"/>
          <w:color w:val="auto"/>
        </w:rPr>
      </w:pPr>
      <w:r>
        <w:rPr>
          <w:rFonts w:ascii="Times New Roman" w:cs="Times New Roman" w:eastAsia="Times New Roman" w:hAnsi="Times New Roman"/>
          <w:sz w:val="22"/>
          <w:szCs w:val="22"/>
          <w:color w:val="auto"/>
        </w:rPr>
        <w:t>(B)no</w:t>
      </w:r>
      <w:r>
        <w:rPr>
          <w:sz w:val="20"/>
          <w:szCs w:val="20"/>
          <w:color w:val="auto"/>
        </w:rPr>
        <w:tab/>
      </w:r>
      <w:r>
        <w:rPr>
          <w:rFonts w:ascii="Times New Roman" w:cs="Times New Roman" w:eastAsia="Times New Roman" w:hAnsi="Times New Roman"/>
          <w:sz w:val="22"/>
          <w:szCs w:val="22"/>
          <w:color w:val="auto"/>
        </w:rPr>
        <w:t>Default</w:t>
        <w:tab/>
        <w:t>shall</w:t>
      </w:r>
      <w:r>
        <w:rPr>
          <w:sz w:val="20"/>
          <w:szCs w:val="20"/>
          <w:color w:val="auto"/>
        </w:rPr>
        <w:tab/>
      </w:r>
      <w:r>
        <w:rPr>
          <w:rFonts w:ascii="Times New Roman" w:cs="Times New Roman" w:eastAsia="Times New Roman" w:hAnsi="Times New Roman"/>
          <w:sz w:val="22"/>
          <w:szCs w:val="22"/>
          <w:color w:val="auto"/>
        </w:rPr>
        <w:t>have</w:t>
      </w:r>
      <w:r>
        <w:rPr>
          <w:sz w:val="20"/>
          <w:szCs w:val="20"/>
          <w:color w:val="auto"/>
        </w:rPr>
        <w:tab/>
      </w:r>
      <w:r>
        <w:rPr>
          <w:rFonts w:ascii="Times New Roman" w:cs="Times New Roman" w:eastAsia="Times New Roman" w:hAnsi="Times New Roman"/>
          <w:sz w:val="22"/>
          <w:szCs w:val="22"/>
          <w:color w:val="auto"/>
        </w:rPr>
        <w:t>occurred and be</w:t>
      </w:r>
      <w:r>
        <w:rPr>
          <w:sz w:val="20"/>
          <w:szCs w:val="20"/>
          <w:color w:val="auto"/>
        </w:rPr>
        <w:tab/>
      </w:r>
      <w:r>
        <w:rPr>
          <w:rFonts w:ascii="Times New Roman" w:cs="Times New Roman" w:eastAsia="Times New Roman" w:hAnsi="Times New Roman"/>
          <w:sz w:val="21"/>
          <w:szCs w:val="21"/>
          <w:color w:val="auto"/>
        </w:rPr>
        <w:t>continuing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immediately prior to the effective date of such increase or after giving effect to such increase;</w:t>
      </w:r>
    </w:p>
    <w:p>
      <w:pPr>
        <w:spacing w:after="0" w:line="182" w:lineRule="exact"/>
        <w:rPr>
          <w:sz w:val="20"/>
          <w:szCs w:val="20"/>
          <w:color w:val="auto"/>
        </w:rPr>
      </w:pPr>
    </w:p>
    <w:p>
      <w:pPr>
        <w:ind w:left="3740" w:hanging="742"/>
        <w:spacing w:after="0"/>
        <w:tabs>
          <w:tab w:leader="none" w:pos="37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Lender’s Commitment may be increased without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 of such Lender;</w:t>
      </w:r>
    </w:p>
    <w:p>
      <w:pPr>
        <w:spacing w:after="0" w:line="182" w:lineRule="exact"/>
        <w:rPr>
          <w:sz w:val="20"/>
          <w:szCs w:val="20"/>
          <w:color w:val="auto"/>
        </w:rPr>
      </w:pPr>
    </w:p>
    <w:p>
      <w:pPr>
        <w:ind w:right="719" w:firstLine="2998"/>
        <w:spacing w:after="0" w:line="238" w:lineRule="auto"/>
        <w:tabs>
          <w:tab w:leader="none" w:pos="37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effective date of such increase, no SOFR Borrowings shall be outstanding or if any SOFR Borrowings are outstanding, then the effective date of such increase shall be the last day of the Interest Period in respect of such SOFR Borrowings unless the</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 xml:space="preserve">Borrower pays any compensation required by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(unless otherwise waived by all Lenders);</w:t>
      </w:r>
    </w:p>
    <w:p>
      <w:pPr>
        <w:spacing w:after="0" w:line="206" w:lineRule="exact"/>
        <w:rPr>
          <w:sz w:val="20"/>
          <w:szCs w:val="20"/>
          <w:color w:val="auto"/>
        </w:rPr>
      </w:pPr>
    </w:p>
    <w:p>
      <w:pPr>
        <w:jc w:val="both"/>
        <w:ind w:right="399" w:firstLine="2995"/>
        <w:spacing w:after="0" w:line="236" w:lineRule="auto"/>
        <w:rPr>
          <w:sz w:val="20"/>
          <w:szCs w:val="20"/>
          <w:color w:val="auto"/>
        </w:rPr>
      </w:pPr>
      <w:r>
        <w:rPr>
          <w:rFonts w:ascii="Times New Roman" w:cs="Times New Roman" w:eastAsia="Times New Roman" w:hAnsi="Times New Roman"/>
          <w:sz w:val="22"/>
          <w:szCs w:val="22"/>
          <w:color w:val="auto"/>
        </w:rPr>
        <w:t xml:space="preserve">(E)if the Borrower elects to increase the Commitments by increasing the Commitments of a Lender, the Borrower and such Lender shall execute and deliver to the Administrative Agent an agreement substantially in the form of </w:t>
      </w:r>
      <w:r>
        <w:rPr>
          <w:rFonts w:ascii="Times New Roman" w:cs="Times New Roman" w:eastAsia="Times New Roman" w:hAnsi="Times New Roman"/>
          <w:sz w:val="22"/>
          <w:szCs w:val="22"/>
          <w:u w:val="single" w:color="auto"/>
          <w:color w:val="auto"/>
        </w:rPr>
        <w:t>Exhibit G-1</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Commitment Increase Agreement</w:t>
      </w:r>
      <w:r>
        <w:rPr>
          <w:rFonts w:ascii="Times New Roman" w:cs="Times New Roman" w:eastAsia="Times New Roman" w:hAnsi="Times New Roman"/>
          <w:sz w:val="22"/>
          <w:szCs w:val="22"/>
          <w:color w:val="auto"/>
        </w:rPr>
        <w:t>”), and the Borrower shall, if requested by such Lender, deliver a new Note payable to such Lender or its registered assigns in a principal amount equal to its Commitment after giving effect to such increase, and otherwise duly completed;</w:t>
      </w:r>
    </w:p>
    <w:p>
      <w:pPr>
        <w:spacing w:after="0" w:line="181" w:lineRule="exact"/>
        <w:rPr>
          <w:sz w:val="20"/>
          <w:szCs w:val="20"/>
          <w:color w:val="auto"/>
        </w:rPr>
      </w:pPr>
    </w:p>
    <w:p>
      <w:pPr>
        <w:jc w:val="both"/>
        <w:ind w:right="379" w:firstLine="2995"/>
        <w:spacing w:after="0" w:line="234" w:lineRule="auto"/>
        <w:rPr>
          <w:sz w:val="20"/>
          <w:szCs w:val="20"/>
          <w:color w:val="auto"/>
        </w:rPr>
      </w:pPr>
      <w:r>
        <w:rPr>
          <w:rFonts w:ascii="Times New Roman" w:cs="Times New Roman" w:eastAsia="Times New Roman" w:hAnsi="Times New Roman"/>
          <w:sz w:val="22"/>
          <w:szCs w:val="22"/>
          <w:color w:val="auto"/>
        </w:rPr>
        <w:t xml:space="preserve">(F)If the Borrower elects to increase the Commitments by causing an Additional Lender to become party to this Agreement, subject to the approval of the Administrative Agent and the Issuing Bank (each such approval not to be unreasonably withheld, conditioned or delayed), Borrower and such approved Additional Lender(s) shall execute and deliver to the Administrative Agent an agreement substantially in the form of </w:t>
      </w:r>
      <w:r>
        <w:rPr>
          <w:rFonts w:ascii="Times New Roman" w:cs="Times New Roman" w:eastAsia="Times New Roman" w:hAnsi="Times New Roman"/>
          <w:sz w:val="22"/>
          <w:szCs w:val="22"/>
          <w:u w:val="single" w:color="auto"/>
          <w:color w:val="auto"/>
        </w:rPr>
        <w:t>Exhibit G-2</w:t>
      </w:r>
      <w:r>
        <w:rPr>
          <w:rFonts w:ascii="Times New Roman" w:cs="Times New Roman" w:eastAsia="Times New Roman" w:hAnsi="Times New Roman"/>
          <w:sz w:val="22"/>
          <w:szCs w:val="22"/>
          <w:color w:val="auto"/>
        </w:rPr>
        <w:t xml:space="preserve"> (an “</w:t>
      </w:r>
      <w:r>
        <w:rPr>
          <w:rFonts w:ascii="Times New Roman" w:cs="Times New Roman" w:eastAsia="Times New Roman" w:hAnsi="Times New Roman"/>
          <w:sz w:val="22"/>
          <w:szCs w:val="22"/>
          <w:u w:val="single" w:color="auto"/>
          <w:color w:val="auto"/>
        </w:rPr>
        <w:t>Additional Lender Agreement</w:t>
      </w:r>
      <w:r>
        <w:rPr>
          <w:rFonts w:ascii="Times New Roman" w:cs="Times New Roman" w:eastAsia="Times New Roman" w:hAnsi="Times New Roman"/>
          <w:sz w:val="22"/>
          <w:szCs w:val="22"/>
          <w:color w:val="auto"/>
        </w:rPr>
        <w:t xml:space="preserve">”), such Additional Lender(s) shall deliver to the Administrative Agent an Administrative Questionnaire and the processing and recording fee pursuant to </w:t>
      </w:r>
      <w:r>
        <w:rPr>
          <w:rFonts w:ascii="Times New Roman" w:cs="Times New Roman" w:eastAsia="Times New Roman" w:hAnsi="Times New Roman"/>
          <w:sz w:val="22"/>
          <w:szCs w:val="22"/>
          <w:u w:val="single" w:color="auto"/>
          <w:color w:val="auto"/>
        </w:rPr>
        <w:t>Section 12.04(b)(iv)</w:t>
      </w:r>
      <w:r>
        <w:rPr>
          <w:rFonts w:ascii="Times New Roman" w:cs="Times New Roman" w:eastAsia="Times New Roman" w:hAnsi="Times New Roman"/>
          <w:sz w:val="22"/>
          <w:szCs w:val="22"/>
          <w:color w:val="auto"/>
        </w:rPr>
        <w:t>, and the Borrower shall, if requested by such Additional Lender, deliver a Note payable to such Additional Lender or its registered assigns in a principal amount equal to its Commitment, and otherwise duly completed; and</w:t>
      </w:r>
    </w:p>
    <w:p>
      <w:pPr>
        <w:spacing w:after="0" w:line="183" w:lineRule="exact"/>
        <w:rPr>
          <w:sz w:val="20"/>
          <w:szCs w:val="20"/>
          <w:color w:val="auto"/>
        </w:rPr>
      </w:pPr>
    </w:p>
    <w:p>
      <w:pPr>
        <w:jc w:val="both"/>
        <w:ind w:right="399" w:firstLine="2995"/>
        <w:spacing w:after="0" w:line="258" w:lineRule="auto"/>
        <w:rPr>
          <w:sz w:val="20"/>
          <w:szCs w:val="20"/>
          <w:color w:val="auto"/>
        </w:rPr>
      </w:pPr>
      <w:r>
        <w:rPr>
          <w:rFonts w:ascii="Times New Roman" w:cs="Times New Roman" w:eastAsia="Times New Roman" w:hAnsi="Times New Roman"/>
          <w:sz w:val="22"/>
          <w:szCs w:val="22"/>
          <w:color w:val="auto"/>
        </w:rPr>
        <w:t>(G)any Additional Commitments shall be on terms and pursuant to the documentation applicable to the other Commitments.</w:t>
      </w:r>
    </w:p>
    <w:p>
      <w:pPr>
        <w:spacing w:after="0" w:line="158" w:lineRule="exact"/>
        <w:rPr>
          <w:sz w:val="20"/>
          <w:szCs w:val="20"/>
          <w:color w:val="auto"/>
        </w:rPr>
      </w:pPr>
    </w:p>
    <w:p>
      <w:pPr>
        <w:jc w:val="both"/>
        <w:ind w:right="399" w:firstLine="2249"/>
        <w:spacing w:after="0" w:line="235" w:lineRule="auto"/>
        <w:tabs>
          <w:tab w:leader="none" w:pos="269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acceptance and recording thereof pursuant to </w:t>
      </w:r>
      <w:r>
        <w:rPr>
          <w:rFonts w:ascii="Times New Roman" w:cs="Times New Roman" w:eastAsia="Times New Roman" w:hAnsi="Times New Roman"/>
          <w:sz w:val="22"/>
          <w:szCs w:val="22"/>
          <w:u w:val="single" w:color="auto"/>
          <w:color w:val="auto"/>
        </w:rPr>
        <w:t>Section 2.06(d)(iv)</w:t>
      </w:r>
      <w:r>
        <w:rPr>
          <w:rFonts w:ascii="Times New Roman" w:cs="Times New Roman" w:eastAsia="Times New Roman" w:hAnsi="Times New Roman"/>
          <w:sz w:val="22"/>
          <w:szCs w:val="22"/>
          <w:color w:val="auto"/>
        </w:rPr>
        <w:t xml:space="preserve"> from and after the effective date specified in the Commitment Increase Agreement or the Additional Lender Agreement (or if any SOFR Borrowings are outstanding, then the last day of the Interest Period in respect of such SOFR Borrowings, unless the Borrower has paid the compensation, if any, required by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(unless otherwise waived by all Lenders)):</w:t>
      </w:r>
    </w:p>
    <w:p>
      <w:pPr>
        <w:jc w:val="both"/>
        <w:ind w:right="399" w:firstLine="2"/>
        <w:spacing w:after="0" w:line="243" w:lineRule="auto"/>
        <w:tabs>
          <w:tab w:leader="none" w:pos="361"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 of the Commitments shall be increased as set forth therein, (B) in the case of an Additional Lender Agreement, any Additional Lender party thereto shall be a party to this Agreement and the other Loan Documents and have the rights and obligations of a Lender under this Agreement and the other Loan Documents and (C) </w:t>
      </w:r>
      <w:r>
        <w:rPr>
          <w:rFonts w:ascii="Times New Roman" w:cs="Times New Roman" w:eastAsia="Times New Roman" w:hAnsi="Times New Roman"/>
          <w:sz w:val="21"/>
          <w:szCs w:val="21"/>
          <w:u w:val="single" w:color="auto"/>
          <w:color w:val="auto"/>
        </w:rPr>
        <w:t>Annex I</w:t>
      </w:r>
      <w:r>
        <w:rPr>
          <w:rFonts w:ascii="Times New Roman" w:cs="Times New Roman" w:eastAsia="Times New Roman" w:hAnsi="Times New Roman"/>
          <w:sz w:val="21"/>
          <w:szCs w:val="21"/>
          <w:color w:val="auto"/>
        </w:rPr>
        <w:t xml:space="preserve"> to this Agreement shall be deemed amended to reflect the Commitment of each Lender (including any Additional Lender) as thereby increased and any resulting changes in the Lenders’ Applicable Percentages. In addition, (unless all Lenders have increased their respective Commitments proportionately and there is no Additional Lender) each increasing Lender and/or the Additional Lender, as applicable, shall purchase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portion of the outstanding Loans (and participation interests in Letters of Credit) of each of the other Lenders (and such Lenders hereby agree to sell and to take all such further action to effectuate such sale as is requested by the Administrative Agent) such that each Lender (including any Additional Lender, if applicable) shall hold its Applicable Percentage of the outstanding Loans (and participation interests) after giving effect to the increase in the Commitments.</w:t>
      </w:r>
    </w:p>
    <w:p>
      <w:pPr>
        <w:spacing w:after="0" w:line="173" w:lineRule="exact"/>
        <w:rPr>
          <w:rFonts w:ascii="Times New Roman" w:cs="Times New Roman" w:eastAsia="Times New Roman" w:hAnsi="Times New Roman"/>
          <w:sz w:val="21"/>
          <w:szCs w:val="21"/>
          <w:color w:val="auto"/>
        </w:rPr>
      </w:pPr>
    </w:p>
    <w:p>
      <w:pPr>
        <w:jc w:val="both"/>
        <w:ind w:right="399" w:firstLine="2249"/>
        <w:spacing w:after="0" w:line="238" w:lineRule="auto"/>
        <w:tabs>
          <w:tab w:leader="none" w:pos="269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receipt of (A) a duly completed Commitment Increase Agreement or an Additional Lender Agreement, executed by the Borrower and the Lender or the Borrower and the Additional Lender party thereto, as applicable, (B) the Administrative</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87" w:name="page88"/>
    <w:bookmarkEnd w:id="87"/>
    <w:p>
      <w:pPr>
        <w:jc w:val="both"/>
        <w:ind w:right="399"/>
        <w:spacing w:after="0" w:line="233" w:lineRule="auto"/>
        <w:rPr>
          <w:sz w:val="20"/>
          <w:szCs w:val="20"/>
          <w:color w:val="auto"/>
        </w:rPr>
      </w:pPr>
      <w:r>
        <w:rPr>
          <w:rFonts w:ascii="Times New Roman" w:cs="Times New Roman" w:eastAsia="Times New Roman" w:hAnsi="Times New Roman"/>
          <w:sz w:val="22"/>
          <w:szCs w:val="22"/>
          <w:color w:val="auto"/>
        </w:rPr>
        <w:t xml:space="preserve">Questionnaire referred to in </w:t>
      </w:r>
      <w:r>
        <w:rPr>
          <w:rFonts w:ascii="Times New Roman" w:cs="Times New Roman" w:eastAsia="Times New Roman" w:hAnsi="Times New Roman"/>
          <w:sz w:val="22"/>
          <w:szCs w:val="22"/>
          <w:u w:val="single" w:color="auto"/>
          <w:color w:val="auto"/>
        </w:rPr>
        <w:t>Section 2.06(d)(ii)(F)</w:t>
      </w:r>
      <w:r>
        <w:rPr>
          <w:rFonts w:ascii="Times New Roman" w:cs="Times New Roman" w:eastAsia="Times New Roman" w:hAnsi="Times New Roman"/>
          <w:sz w:val="22"/>
          <w:szCs w:val="22"/>
          <w:color w:val="auto"/>
        </w:rPr>
        <w:t xml:space="preserve"> if applicable, (C) if requested by the Administrative Agent, an amendment to this Agreement to the extent necessary to effect an increase of the Commitments in accordance with this </w:t>
      </w:r>
      <w:r>
        <w:rPr>
          <w:rFonts w:ascii="Times New Roman" w:cs="Times New Roman" w:eastAsia="Times New Roman" w:hAnsi="Times New Roman"/>
          <w:sz w:val="22"/>
          <w:szCs w:val="22"/>
          <w:u w:val="single" w:color="auto"/>
          <w:color w:val="auto"/>
        </w:rPr>
        <w:t>Section 2.06(d)</w:t>
      </w:r>
      <w:r>
        <w:rPr>
          <w:rFonts w:ascii="Times New Roman" w:cs="Times New Roman" w:eastAsia="Times New Roman" w:hAnsi="Times New Roman"/>
          <w:sz w:val="22"/>
          <w:szCs w:val="22"/>
          <w:color w:val="auto"/>
        </w:rPr>
        <w:t xml:space="preserve"> in form and substance reasonably satisfactory to the Administrative Agent and the Borrower, which amendment shall only require the signatures of the Borrower, the Administrative Agent, and any increasing Lender or Additional Lender, as the case may be, (D) a certificate of a Responsible Officer of each Loan Party certifying (1) as to attached resolutions or written consent(s) of the board of directors, manager(s), member(s), or other appropriate equivalent governing Person or body of each Loan Party approving or consenting to such increase in the Commitments or Additional Commitments, as the case may be, and (2) in the case of the Borrower, as to the satisfaction of the conditions set forth in </w:t>
      </w:r>
      <w:r>
        <w:rPr>
          <w:rFonts w:ascii="Times New Roman" w:cs="Times New Roman" w:eastAsia="Times New Roman" w:hAnsi="Times New Roman"/>
          <w:sz w:val="22"/>
          <w:szCs w:val="22"/>
          <w:u w:val="single" w:color="auto"/>
          <w:color w:val="auto"/>
        </w:rPr>
        <w:t>Section 2.06(d)(ii)</w:t>
      </w:r>
      <w:r>
        <w:rPr>
          <w:rFonts w:ascii="Times New Roman" w:cs="Times New Roman" w:eastAsia="Times New Roman" w:hAnsi="Times New Roman"/>
          <w:sz w:val="22"/>
          <w:szCs w:val="22"/>
          <w:color w:val="auto"/>
        </w:rPr>
        <w:t xml:space="preserve"> and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and (E) customary legal opinions and other documents reasonably requested by the Administrative Agent, the Administrative Agent shall accept such Commitment Increase Agreement or Additional Lender Agreement and record the information contained therein in the Register required to be maintained by the Administrative Agent pursuant to </w:t>
      </w:r>
      <w:r>
        <w:rPr>
          <w:rFonts w:ascii="Times New Roman" w:cs="Times New Roman" w:eastAsia="Times New Roman" w:hAnsi="Times New Roman"/>
          <w:sz w:val="22"/>
          <w:szCs w:val="22"/>
          <w:u w:val="single" w:color="auto"/>
          <w:color w:val="auto"/>
        </w:rPr>
        <w:t>Section 12.04(c)</w:t>
      </w:r>
      <w:r>
        <w:rPr>
          <w:rFonts w:ascii="Times New Roman" w:cs="Times New Roman" w:eastAsia="Times New Roman" w:hAnsi="Times New Roman"/>
          <w:sz w:val="22"/>
          <w:szCs w:val="22"/>
          <w:color w:val="auto"/>
        </w:rPr>
        <w:t xml:space="preserve">. No increase in the Commitments shall be effective for purposes of this Agreement unless it has been recorded in the Register as provided in this </w:t>
      </w:r>
      <w:r>
        <w:rPr>
          <w:rFonts w:ascii="Times New Roman" w:cs="Times New Roman" w:eastAsia="Times New Roman" w:hAnsi="Times New Roman"/>
          <w:sz w:val="22"/>
          <w:szCs w:val="22"/>
          <w:u w:val="single" w:color="auto"/>
          <w:color w:val="auto"/>
        </w:rPr>
        <w:t>Section 2.06(d)(iv)</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Subject to the terms and conditions set forth herein, at any time and from time to time on and after the Effective Date the Borrower may request the issuance of dollar denominated Letters of Credit for its own account or for the account of any of the other Relevant Parties, in a form reasonably acceptable to the Administrative Agent and the applicable Issuing Bank, at any time and from time to time during the Availability Period. In the event of any inconsistency between the terms and conditions of this Agreement and the terms and conditions of any Letter of Credit Agreement, the terms and conditions of this Agreement shall control.</w:t>
      </w:r>
    </w:p>
    <w:p>
      <w:pPr>
        <w:spacing w:after="0" w:line="183"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Notice of Issuance, Amendment, Renewal, Extension; Certain Conditions</w:t>
      </w:r>
      <w:r>
        <w:rPr>
          <w:rFonts w:ascii="Times New Roman" w:cs="Times New Roman" w:eastAsia="Times New Roman" w:hAnsi="Times New Roman"/>
          <w:sz w:val="22"/>
          <w:szCs w:val="22"/>
          <w:color w:val="auto"/>
        </w:rPr>
        <w:t>. To request the issuance of a Letter of Credit (or the amendment, renewal or extension of an outstanding Letter of Credit), the Borrower shall hand deliver or fax (or transmit by electronic communication, if arrangements for doing so have been approved by the applicable Issuing Bank) to the Issuing Bank and the Administrative Agent (not less than three (3) Business Days in advance of the requested date of issuance, amendment, renewal or extension) a notice:</w:t>
      </w:r>
    </w:p>
    <w:p>
      <w:pPr>
        <w:spacing w:after="0" w:line="181" w:lineRule="exact"/>
        <w:rPr>
          <w:sz w:val="20"/>
          <w:szCs w:val="20"/>
          <w:color w:val="auto"/>
        </w:rPr>
      </w:pPr>
    </w:p>
    <w:p>
      <w:pPr>
        <w:ind w:left="120" w:right="399" w:firstLine="1724"/>
        <w:spacing w:after="0" w:line="258" w:lineRule="auto"/>
        <w:tabs>
          <w:tab w:leader="none" w:pos="212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requesting the issuance of a Letter of Credit or identifying the Letter of Credit to be amended, renewed or extended;</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1"/>
          <w:szCs w:val="21"/>
          <w:color w:val="auto"/>
        </w:rPr>
        <w:t>(ii)specifying the date of issuance, amendment, renewal or extension (which shall be a</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Business Day);</w:t>
      </w:r>
    </w:p>
    <w:p>
      <w:pPr>
        <w:spacing w:after="0" w:line="182" w:lineRule="exact"/>
        <w:rPr>
          <w:sz w:val="20"/>
          <w:szCs w:val="20"/>
          <w:color w:val="auto"/>
        </w:rPr>
      </w:pPr>
    </w:p>
    <w:p>
      <w:pPr>
        <w:ind w:left="120" w:right="399" w:firstLine="1722"/>
        <w:spacing w:after="0" w:line="258" w:lineRule="auto"/>
        <w:rPr>
          <w:sz w:val="20"/>
          <w:szCs w:val="20"/>
          <w:color w:val="auto"/>
        </w:rPr>
      </w:pPr>
      <w:r>
        <w:rPr>
          <w:rFonts w:ascii="Times New Roman" w:cs="Times New Roman" w:eastAsia="Times New Roman" w:hAnsi="Times New Roman"/>
          <w:sz w:val="22"/>
          <w:szCs w:val="22"/>
          <w:color w:val="auto"/>
        </w:rPr>
        <w:t xml:space="preserve">(iii)specifying the date on which such Letter of Credit is to expire (which shall comply with </w:t>
      </w:r>
      <w:r>
        <w:rPr>
          <w:rFonts w:ascii="Times New Roman" w:cs="Times New Roman" w:eastAsia="Times New Roman" w:hAnsi="Times New Roman"/>
          <w:sz w:val="22"/>
          <w:szCs w:val="22"/>
          <w:u w:val="single" w:color="auto"/>
          <w:color w:val="auto"/>
        </w:rPr>
        <w:t>Section 2.07(c)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(iv)specifying the amount of such Letter of Credit;</w:t>
      </w:r>
    </w:p>
    <w:p>
      <w:pPr>
        <w:spacing w:after="0" w:line="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88" w:name="page89"/>
    <w:bookmarkEnd w:id="88"/>
    <w:p>
      <w:pPr>
        <w:ind w:left="120" w:right="399" w:firstLine="1724"/>
        <w:spacing w:after="0" w:line="258" w:lineRule="auto"/>
        <w:tabs>
          <w:tab w:leader="none" w:pos="212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specifying the name and address of the beneficiary thereof and such other information as shall be necessary to prepare, amend, renew or extend such Letter of Credit; and</w:t>
      </w:r>
    </w:p>
    <w:p>
      <w:pPr>
        <w:spacing w:after="0" w:line="158" w:lineRule="exact"/>
        <w:rPr>
          <w:sz w:val="20"/>
          <w:szCs w:val="20"/>
          <w:color w:val="auto"/>
        </w:rPr>
      </w:pPr>
    </w:p>
    <w:p>
      <w:pPr>
        <w:jc w:val="both"/>
        <w:ind w:left="120" w:right="399" w:firstLine="1722"/>
        <w:spacing w:after="0" w:line="239" w:lineRule="auto"/>
        <w:rPr>
          <w:sz w:val="20"/>
          <w:szCs w:val="20"/>
          <w:color w:val="auto"/>
        </w:rPr>
      </w:pPr>
      <w:r>
        <w:rPr>
          <w:rFonts w:ascii="Times New Roman" w:cs="Times New Roman" w:eastAsia="Times New Roman" w:hAnsi="Times New Roman"/>
          <w:sz w:val="22"/>
          <w:szCs w:val="22"/>
          <w:color w:val="auto"/>
        </w:rPr>
        <w:t xml:space="preserve">(vi)specifying the current total Revolving Credit Exposures (without regard to the requested Letter of Credit or the requested amendment, renewal or extension of an outstanding Letter of Credit) and the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total Revolving Credit Exposures (giving effect to the requested Letter of Credit or the requested amendment, renewal or extension of an outstanding Letter of Credit);</w:t>
      </w:r>
    </w:p>
    <w:p>
      <w:pPr>
        <w:spacing w:after="0" w:line="180" w:lineRule="exact"/>
        <w:rPr>
          <w:sz w:val="20"/>
          <w:szCs w:val="20"/>
          <w:color w:val="auto"/>
        </w:rPr>
      </w:pPr>
    </w:p>
    <w:p>
      <w:pPr>
        <w:jc w:val="both"/>
        <w:ind w:right="399"/>
        <w:spacing w:after="0" w:line="239" w:lineRule="auto"/>
        <w:rPr>
          <w:sz w:val="20"/>
          <w:szCs w:val="20"/>
          <w:color w:val="auto"/>
        </w:rPr>
      </w:pPr>
      <w:r>
        <w:rPr>
          <w:rFonts w:ascii="Times New Roman" w:cs="Times New Roman" w:eastAsia="Times New Roman" w:hAnsi="Times New Roman"/>
          <w:sz w:val="22"/>
          <w:szCs w:val="22"/>
          <w:color w:val="auto"/>
        </w:rPr>
        <w:t xml:space="preserve">Each notice shall constitute a representation that after giving effect to the requested issuance, amendment, renewal or extension, as applicable, (x) the LC Exposure will not exceed the LC Sublimit, (y) the total Revolving Credit Exposures will not exceed the Maximum Credit Amount, and (z) each condition precedent set forth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has been satisfied with respect to such Letter of Credit.</w:t>
      </w:r>
    </w:p>
    <w:p>
      <w:pPr>
        <w:spacing w:after="0" w:line="180" w:lineRule="exact"/>
        <w:rPr>
          <w:sz w:val="20"/>
          <w:szCs w:val="20"/>
          <w:color w:val="auto"/>
        </w:rPr>
      </w:pPr>
    </w:p>
    <w:p>
      <w:pPr>
        <w:jc w:val="both"/>
        <w:ind w:right="399"/>
        <w:spacing w:after="0" w:line="238" w:lineRule="auto"/>
        <w:rPr>
          <w:sz w:val="20"/>
          <w:szCs w:val="20"/>
          <w:color w:val="auto"/>
        </w:rPr>
      </w:pPr>
      <w:r>
        <w:rPr>
          <w:rFonts w:ascii="Times New Roman" w:cs="Times New Roman" w:eastAsia="Times New Roman" w:hAnsi="Times New Roman"/>
          <w:sz w:val="22"/>
          <w:szCs w:val="22"/>
          <w:color w:val="auto"/>
        </w:rPr>
        <w:t>If requested by the applicable Issuing Bank in connection with any request for a Letter of Credit, the Borrower also shall submit an appropriately completed letter of credit application on the Issuing Bank’s standard form as in effect from time to time, which application may require the inclusion of draft language for such Letter of Credit that is reasonably acceptable to such Issuing Bank and may be required to be signed by a Responsible Officer.</w:t>
      </w:r>
    </w:p>
    <w:p>
      <w:pPr>
        <w:spacing w:after="0" w:line="177" w:lineRule="exact"/>
        <w:rPr>
          <w:sz w:val="20"/>
          <w:szCs w:val="20"/>
          <w:color w:val="auto"/>
        </w:rPr>
      </w:pPr>
    </w:p>
    <w:p>
      <w:pPr>
        <w:jc w:val="both"/>
        <w:ind w:right="399"/>
        <w:spacing w:after="0" w:line="242" w:lineRule="auto"/>
        <w:rPr>
          <w:sz w:val="20"/>
          <w:szCs w:val="20"/>
          <w:color w:val="auto"/>
        </w:rPr>
      </w:pPr>
      <w:r>
        <w:rPr>
          <w:rFonts w:ascii="Times New Roman" w:cs="Times New Roman" w:eastAsia="Times New Roman" w:hAnsi="Times New Roman"/>
          <w:sz w:val="21"/>
          <w:szCs w:val="21"/>
          <w:color w:val="auto"/>
        </w:rPr>
        <w:t>The Issuing Bank (A) shall not be required to issue, and shall not issue, any Letter of Credit if (1) any order, judgment or decree of any Governmental Authority or arbitrator shall by its terms purport to enjoin or restrain the Issuing Bank from issuing such Letter of Credit, or any law applicable to the Issuing Bank or any request or directive (whether or not having the force of law) from any Governmental Authority with jurisdiction over such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(2) the issuance of such Letter of Credit would violate one or more policies of the Issuing Bank applicable to letters of credit generally, (3) except as otherwise agreed by the Administrative Agent and the Issuing Bank, such Letter of Credit is in an initial stated amount less than $10,000, (4) such Letter of Credit is to be denominated in a currency other than Dollars, (5) such Letter of Credit contains any provisions for automatic reinstatement of the stated amount after any drawing thereunder, (6) with respect to Letters of Credit to be issued by Wells Fargo, the issuance of such Letter of Credit would cause the aggregate outstanding stated amount of Letters of Credit issued by Wells Fargo to exceed $5,000,000 unless Wells Fargo otherwise consents in its sole discretion, or (7) the issuance of such Letter of Credit would cause the aggregate amount of such Issuing Bank’s Revolving Credit Exposure, in its capacities as a Letter of Credit issuer and as a Lender, to exceed its Commitment; or</w:t>
      </w:r>
    </w:p>
    <w:p>
      <w:pPr>
        <w:spacing w:after="0" w:line="15" w:lineRule="exact"/>
        <w:rPr>
          <w:sz w:val="20"/>
          <w:szCs w:val="20"/>
          <w:color w:val="auto"/>
        </w:rPr>
      </w:pPr>
    </w:p>
    <w:p>
      <w:pPr>
        <w:jc w:val="both"/>
        <w:ind w:right="399" w:firstLine="2"/>
        <w:spacing w:after="0" w:line="231" w:lineRule="auto"/>
        <w:tabs>
          <w:tab w:leader="none" w:pos="34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required to amend or extend any Letter of Credit if the Issuing Bank would not be required at such time to issue the Letter of Credit in its amended form under the terms hereof or if the beneficiary of such Letter of Credit does not accept the proposed amendment thereto. Any request</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89" w:name="page90"/>
    <w:bookmarkEnd w:id="89"/>
    <w:p>
      <w:pPr>
        <w:ind w:right="939"/>
        <w:spacing w:after="0" w:line="258" w:lineRule="auto"/>
        <w:rPr>
          <w:sz w:val="20"/>
          <w:szCs w:val="20"/>
          <w:color w:val="auto"/>
        </w:rPr>
      </w:pPr>
      <w:r>
        <w:rPr>
          <w:rFonts w:ascii="Times New Roman" w:cs="Times New Roman" w:eastAsia="Times New Roman" w:hAnsi="Times New Roman"/>
          <w:sz w:val="22"/>
          <w:szCs w:val="22"/>
          <w:color w:val="auto"/>
        </w:rPr>
        <w:t xml:space="preserve">for the issuance of a Letter of Credit that is made at any time that there is a Defaulting Lender shall be subject to </w:t>
      </w:r>
      <w:r>
        <w:rPr>
          <w:rFonts w:ascii="Times New Roman" w:cs="Times New Roman" w:eastAsia="Times New Roman" w:hAnsi="Times New Roman"/>
          <w:sz w:val="22"/>
          <w:szCs w:val="22"/>
          <w:u w:val="single" w:color="auto"/>
          <w:color w:val="auto"/>
        </w:rPr>
        <w:t>Section 4.04(c)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Each Letter of Credit shall expire at or prior to the close of business on the earlier of (i) the date one (1) year after the date of the issuance of such Letter of Credit (or, in the case of any renewal or extension thereof, one year after such renewal or extension, as applicable), and (ii) the date that is five (5) Business Days prior to the Maturity Date. Each Letter of Credit with a one (1) year term may provide for the renewal thereof for additional one (1) year periods;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period shall extend beyond the date described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1"/>
          <w:szCs w:val="21"/>
          <w:color w:val="auto"/>
        </w:rPr>
        <w:t>(d)</w:t>
      </w: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xml:space="preserve">. By the issuance of a Letter of Credit (or an amendment to a Letter of Credit increasing the amount thereof) and without any further action on the part of the applicable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Borrower on the date due as provided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2.07(e)</w:t>
      </w:r>
      <w:r>
        <w:rPr>
          <w:rFonts w:ascii="Times New Roman" w:cs="Times New Roman" w:eastAsia="Times New Roman" w:hAnsi="Times New Roman"/>
          <w:sz w:val="21"/>
          <w:szCs w:val="21"/>
          <w:color w:val="auto"/>
        </w:rPr>
        <w:t xml:space="preserve">, or of any reimbursement payment required to be refunded to the Borrower for any reason. Each Lender acknowledges and agrees that its obligation to acquire participations pursuant to this </w:t>
      </w:r>
      <w:r>
        <w:rPr>
          <w:rFonts w:ascii="Times New Roman" w:cs="Times New Roman" w:eastAsia="Times New Roman" w:hAnsi="Times New Roman"/>
          <w:sz w:val="21"/>
          <w:szCs w:val="21"/>
          <w:u w:val="single" w:color="auto"/>
          <w:color w:val="auto"/>
        </w:rPr>
        <w:t>Section 2.07(d)</w:t>
      </w:r>
      <w:r>
        <w:rPr>
          <w:rFonts w:ascii="Times New Roman" w:cs="Times New Roman" w:eastAsia="Times New Roman" w:hAnsi="Times New Roman"/>
          <w:sz w:val="21"/>
          <w:szCs w:val="21"/>
          <w:color w:val="auto"/>
        </w:rPr>
        <w:t xml:space="preserve"> in respect of Letters of Credit is absolute and unconditional and shall not be affected by any circumstance whatsoever, including any amendment, renewal or extension of any Letter of Credit or the occurrence and continuance of a Default or the reduction or termination of the Commitments, and that each such payment shall be made without any offset, abatement, withholding or reduction whatsoever.</w:t>
      </w:r>
    </w:p>
    <w:p>
      <w:pPr>
        <w:spacing w:after="0" w:line="181" w:lineRule="exact"/>
        <w:rPr>
          <w:sz w:val="20"/>
          <w:szCs w:val="20"/>
          <w:color w:val="auto"/>
        </w:rPr>
      </w:pPr>
    </w:p>
    <w:p>
      <w:pPr>
        <w:jc w:val="both"/>
        <w:ind w:right="399" w:firstLine="1498"/>
        <w:spacing w:after="0" w:line="231"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Reimbursement</w:t>
      </w:r>
      <w:r>
        <w:rPr>
          <w:rFonts w:ascii="Times New Roman" w:cs="Times New Roman" w:eastAsia="Times New Roman" w:hAnsi="Times New Roman"/>
          <w:sz w:val="22"/>
          <w:szCs w:val="22"/>
          <w:color w:val="auto"/>
        </w:rPr>
        <w:t xml:space="preserve">. If the Issuing Bank shall make any LC Disbursement in respect of a Letter of Credit, the Borrower shall reimburse such LC Disbursement by paying to the Administrative Agent an amount equal to such LC Disbursement not later than 12:00 noon, Dallas, Texas time, on the date that such LC Disbursement is made, if the Borrower shall have received notice of such LC Disbursement prior to 9:00 a.m., Dallas, Texas time, on such date, or, if such notice has not been received by the Borrower prior to such time on such date, then not later than 12:00 noon, Dallas, Texas time, on the Business Day immediately following the day that the Borrower receives such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subject to the conditions to Borrowing set forth herein, be deemed to have requested, and the Borrower does hereby request under such circumstances, that such payment be financed with an ABR Borrowing in an equivalent amount and, to the extent so financed, the Borrower’s obligation to make such payment shall be discharged and replaced by the resulting ABR Borrowing.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with respect to Loans made by such Lender (and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 to the payment obligations of the Lenders), and the Administrative Agent shall promptly pay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applicable Issuing Bank the amounts so received</w:t>
      </w:r>
    </w:p>
    <w:p>
      <w:pPr>
        <w:spacing w:after="0" w:line="1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90" w:name="page91"/>
    <w:bookmarkEnd w:id="90"/>
    <w:p>
      <w:pPr>
        <w:jc w:val="both"/>
        <w:ind w:right="399"/>
        <w:spacing w:after="0" w:line="235" w:lineRule="auto"/>
        <w:rPr>
          <w:sz w:val="20"/>
          <w:szCs w:val="20"/>
          <w:color w:val="auto"/>
        </w:rPr>
      </w:pPr>
      <w:r>
        <w:rPr>
          <w:rFonts w:ascii="Times New Roman" w:cs="Times New Roman" w:eastAsia="Times New Roman" w:hAnsi="Times New Roman"/>
          <w:sz w:val="22"/>
          <w:szCs w:val="22"/>
          <w:color w:val="auto"/>
        </w:rPr>
        <w:t xml:space="preserve">by it from the Lenders. Promptly following receipt by the Administrative Agent of any payment from the Borrower pursuant to this </w:t>
      </w:r>
      <w:r>
        <w:rPr>
          <w:rFonts w:ascii="Times New Roman" w:cs="Times New Roman" w:eastAsia="Times New Roman" w:hAnsi="Times New Roman"/>
          <w:sz w:val="22"/>
          <w:szCs w:val="22"/>
          <w:u w:val="single" w:color="auto"/>
          <w:color w:val="auto"/>
        </w:rPr>
        <w:t>Section 2.07(e)</w:t>
      </w:r>
      <w:r>
        <w:rPr>
          <w:rFonts w:ascii="Times New Roman" w:cs="Times New Roman" w:eastAsia="Times New Roman" w:hAnsi="Times New Roman"/>
          <w:sz w:val="22"/>
          <w:szCs w:val="22"/>
          <w:color w:val="auto"/>
        </w:rPr>
        <w:t xml:space="preserve">, the Administrative Agent shall distribute such payment to the applicable Issuing Bank or, to the extent that Lenders have made payments pursuant to this </w:t>
      </w:r>
      <w:r>
        <w:rPr>
          <w:rFonts w:ascii="Times New Roman" w:cs="Times New Roman" w:eastAsia="Times New Roman" w:hAnsi="Times New Roman"/>
          <w:sz w:val="22"/>
          <w:szCs w:val="22"/>
          <w:u w:val="single" w:color="auto"/>
          <w:color w:val="auto"/>
        </w:rPr>
        <w:t>Section 2.07(e)</w:t>
      </w:r>
      <w:r>
        <w:rPr>
          <w:rFonts w:ascii="Times New Roman" w:cs="Times New Roman" w:eastAsia="Times New Roman" w:hAnsi="Times New Roman"/>
          <w:sz w:val="22"/>
          <w:szCs w:val="22"/>
          <w:color w:val="auto"/>
        </w:rPr>
        <w:t xml:space="preserve"> to reimburse the applicable Issuing Bank, then to such Lenders and the applicable Issuing Bank as their interests may appear. Any payment made by a Lender pursuant to this </w:t>
      </w:r>
      <w:r>
        <w:rPr>
          <w:rFonts w:ascii="Times New Roman" w:cs="Times New Roman" w:eastAsia="Times New Roman" w:hAnsi="Times New Roman"/>
          <w:sz w:val="22"/>
          <w:szCs w:val="22"/>
          <w:u w:val="single" w:color="auto"/>
          <w:color w:val="auto"/>
        </w:rPr>
        <w:t>Section 2.07(e)</w:t>
      </w:r>
      <w:r>
        <w:rPr>
          <w:rFonts w:ascii="Times New Roman" w:cs="Times New Roman" w:eastAsia="Times New Roman" w:hAnsi="Times New Roman"/>
          <w:sz w:val="22"/>
          <w:szCs w:val="22"/>
          <w:color w:val="auto"/>
        </w:rPr>
        <w:t xml:space="preserve"> to reimburse the applicable Issuing Bank for any LC Disbursement (other than the funding of ABR Loans as contemplated above) shall not constitute a Loan and shall not relieve the Borrower of its obligation to reimburse such LC Disbursement.</w:t>
      </w:r>
    </w:p>
    <w:p>
      <w:pPr>
        <w:spacing w:after="0" w:line="178" w:lineRule="exact"/>
        <w:rPr>
          <w:sz w:val="20"/>
          <w:szCs w:val="20"/>
          <w:color w:val="auto"/>
        </w:rPr>
      </w:pPr>
    </w:p>
    <w:p>
      <w:pPr>
        <w:jc w:val="both"/>
        <w:ind w:right="399" w:firstLine="1498"/>
        <w:spacing w:after="0" w:line="242" w:lineRule="auto"/>
        <w:rPr>
          <w:sz w:val="20"/>
          <w:szCs w:val="20"/>
          <w:color w:val="auto"/>
        </w:rPr>
      </w:pPr>
      <w:r>
        <w:rPr>
          <w:rFonts w:ascii="Times New Roman" w:cs="Times New Roman" w:eastAsia="Times New Roman" w:hAnsi="Times New Roman"/>
          <w:sz w:val="21"/>
          <w:szCs w:val="21"/>
          <w:color w:val="auto"/>
        </w:rPr>
        <w:t xml:space="preserve">(f) </w:t>
      </w: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 xml:space="preserve">. The Borrower’s obligation to reimburse LC Disbursements as provided in </w:t>
      </w:r>
      <w:r>
        <w:rPr>
          <w:rFonts w:ascii="Times New Roman" w:cs="Times New Roman" w:eastAsia="Times New Roman" w:hAnsi="Times New Roman"/>
          <w:sz w:val="21"/>
          <w:szCs w:val="21"/>
          <w:u w:val="single" w:color="auto"/>
          <w:color w:val="auto"/>
        </w:rPr>
        <w:t>Section 2.07(e)</w:t>
      </w:r>
      <w:r>
        <w:rPr>
          <w:rFonts w:ascii="Times New Roman" w:cs="Times New Roman" w:eastAsia="Times New Roman" w:hAnsi="Times New Roman"/>
          <w:sz w:val="21"/>
          <w:szCs w:val="21"/>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with the terms of such Letter of Credit or any Letter of Credit Agreement, or (iv) any other event or circumstance whatsoever, whether or not similar to any of the foregoing, that might, but for the provisions of this </w:t>
      </w:r>
      <w:r>
        <w:rPr>
          <w:rFonts w:ascii="Times New Roman" w:cs="Times New Roman" w:eastAsia="Times New Roman" w:hAnsi="Times New Roman"/>
          <w:sz w:val="21"/>
          <w:szCs w:val="21"/>
          <w:u w:val="single" w:color="auto"/>
          <w:color w:val="auto"/>
        </w:rPr>
        <w:t>Section 2.07(f)</w:t>
      </w:r>
      <w:r>
        <w:rPr>
          <w:rFonts w:ascii="Times New Roman" w:cs="Times New Roman" w:eastAsia="Times New Roman" w:hAnsi="Times New Roman"/>
          <w:sz w:val="21"/>
          <w:szCs w:val="21"/>
          <w:color w:val="auto"/>
        </w:rPr>
        <w:t xml:space="preserve">, constitute a legal or equitable discharge of, or provide a right of setoff against, the Borrower’s obligations hereunder. Neither the Administrative Agent, the Lenders nor the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neither the foregoing nor </w:t>
      </w:r>
      <w:r>
        <w:rPr>
          <w:rFonts w:ascii="Times New Roman" w:cs="Times New Roman" w:eastAsia="Times New Roman" w:hAnsi="Times New Roman"/>
          <w:sz w:val="21"/>
          <w:szCs w:val="21"/>
          <w:u w:val="single" w:color="auto"/>
          <w:color w:val="auto"/>
        </w:rPr>
        <w:t>Section 12.03</w:t>
      </w:r>
      <w:r>
        <w:rPr>
          <w:rFonts w:ascii="Times New Roman" w:cs="Times New Roman" w:eastAsia="Times New Roman" w:hAnsi="Times New Roman"/>
          <w:sz w:val="21"/>
          <w:szCs w:val="21"/>
          <w:color w:val="auto"/>
        </w:rPr>
        <w:t xml:space="preserve"> shall be construed to excuse the applicable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applicable Issuing Bank (as finally determined by a court of competent jurisdiction), the Issuing Bank shall be deemed to have exercised all requisite care in each such determination. In furtherance of the foregoing and without limiting the generality thereof, the parties agree that, with respect to documents presented that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44" w:lineRule="exact"/>
        <w:rPr>
          <w:sz w:val="20"/>
          <w:szCs w:val="20"/>
          <w:color w:val="auto"/>
        </w:rPr>
      </w:pPr>
    </w:p>
    <w:p>
      <w:pPr>
        <w:jc w:val="both"/>
        <w:ind w:right="399" w:firstLine="1498"/>
        <w:spacing w:after="0" w:line="243" w:lineRule="auto"/>
        <w:rPr>
          <w:sz w:val="20"/>
          <w:szCs w:val="20"/>
          <w:color w:val="auto"/>
        </w:rPr>
      </w:pP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22"/>
          <w:szCs w:val="22"/>
          <w:u w:val="single" w:color="auto"/>
          <w:color w:val="auto"/>
        </w:rPr>
        <w:t>Disbursement Procedures</w:t>
      </w:r>
      <w:r>
        <w:rPr>
          <w:rFonts w:ascii="Times New Roman" w:cs="Times New Roman" w:eastAsia="Times New Roman" w:hAnsi="Times New Roman"/>
          <w:sz w:val="22"/>
          <w:szCs w:val="22"/>
          <w:color w:val="auto"/>
        </w:rPr>
        <w:t>. The Issuing Bank shall, promptly following its receipt thereof, examine all documents purporting to represent a demand for payment under a</w:t>
      </w:r>
    </w:p>
    <w:p>
      <w:pPr>
        <w:ind w:left="5140"/>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91" w:name="page92"/>
    <w:bookmarkEnd w:id="91"/>
    <w:p>
      <w:pPr>
        <w:jc w:val="both"/>
        <w:ind w:right="399"/>
        <w:spacing w:after="0" w:line="238" w:lineRule="auto"/>
        <w:rPr>
          <w:sz w:val="20"/>
          <w:szCs w:val="20"/>
          <w:color w:val="auto"/>
        </w:rPr>
      </w:pPr>
      <w:r>
        <w:rPr>
          <w:rFonts w:ascii="Times New Roman" w:cs="Times New Roman" w:eastAsia="Times New Roman" w:hAnsi="Times New Roman"/>
          <w:sz w:val="22"/>
          <w:szCs w:val="22"/>
          <w:color w:val="auto"/>
        </w:rPr>
        <w:t xml:space="preserve">Letter of Credit. The Issuing Bank shall promptly notify the Administrative Agent and the Borrower by telephone, facsimile or other electronic transmission of such demand for payment and whether the Issuing Bank has made or will make an LC Disbursement thereunder;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Borrower of its obligation to reimburse the applicable Issuing Bank and the Lenders with respect to any such LC Disbursement.</w:t>
      </w:r>
    </w:p>
    <w:p>
      <w:pPr>
        <w:spacing w:after="0" w:line="177"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22"/>
          <w:szCs w:val="22"/>
          <w:u w:val="single" w:color="auto"/>
          <w:color w:val="auto"/>
        </w:rPr>
        <w:t>Interim Interest</w:t>
      </w:r>
      <w:r>
        <w:rPr>
          <w:rFonts w:ascii="Times New Roman" w:cs="Times New Roman" w:eastAsia="Times New Roman" w:hAnsi="Times New Roman"/>
          <w:sz w:val="22"/>
          <w:szCs w:val="22"/>
          <w:color w:val="auto"/>
        </w:rPr>
        <w:t xml:space="preserve">. If the Issuing Bank shall make any LC Disbursement, then, until the Borrower shall have reimbursed the Issuing Bank for such LC Disbursement (either with their own funds or a Borrowing under </w:t>
      </w:r>
      <w:r>
        <w:rPr>
          <w:rFonts w:ascii="Times New Roman" w:cs="Times New Roman" w:eastAsia="Times New Roman" w:hAnsi="Times New Roman"/>
          <w:sz w:val="22"/>
          <w:szCs w:val="22"/>
          <w:u w:val="single" w:color="auto"/>
          <w:color w:val="auto"/>
        </w:rPr>
        <w:t>Section 2.07(e)</w:t>
      </w:r>
      <w:r>
        <w:rPr>
          <w:rFonts w:ascii="Times New Roman" w:cs="Times New Roman" w:eastAsia="Times New Roman" w:hAnsi="Times New Roman"/>
          <w:sz w:val="22"/>
          <w:szCs w:val="22"/>
          <w:color w:val="auto"/>
        </w:rPr>
        <w:t xml:space="preserve">), the unpaid amount thereof shall bear interest, for each day from and including the date such LC Disbursement is made to but excluding the date that the Borrower reimburses such LC Disbursement, at the rate per annum then applicable to ABR Loans. Interest accrued pursuant to this </w:t>
      </w:r>
      <w:r>
        <w:rPr>
          <w:rFonts w:ascii="Times New Roman" w:cs="Times New Roman" w:eastAsia="Times New Roman" w:hAnsi="Times New Roman"/>
          <w:sz w:val="22"/>
          <w:szCs w:val="22"/>
          <w:u w:val="single" w:color="auto"/>
          <w:color w:val="auto"/>
        </w:rPr>
        <w:t>Section 2.07(h)</w:t>
      </w:r>
      <w:r>
        <w:rPr>
          <w:rFonts w:ascii="Times New Roman" w:cs="Times New Roman" w:eastAsia="Times New Roman" w:hAnsi="Times New Roman"/>
          <w:sz w:val="22"/>
          <w:szCs w:val="22"/>
          <w:color w:val="auto"/>
        </w:rPr>
        <w:t xml:space="preserve"> shall be for the account of the Issuing Bank, except that interest accrued on and after the date of payment by any Lender pursuant to </w:t>
      </w:r>
      <w:r>
        <w:rPr>
          <w:rFonts w:ascii="Times New Roman" w:cs="Times New Roman" w:eastAsia="Times New Roman" w:hAnsi="Times New Roman"/>
          <w:sz w:val="22"/>
          <w:szCs w:val="22"/>
          <w:u w:val="single" w:color="auto"/>
          <w:color w:val="auto"/>
        </w:rPr>
        <w:t>Section 2.07(e)</w:t>
      </w:r>
      <w:r>
        <w:rPr>
          <w:rFonts w:ascii="Times New Roman" w:cs="Times New Roman" w:eastAsia="Times New Roman" w:hAnsi="Times New Roman"/>
          <w:sz w:val="22"/>
          <w:szCs w:val="22"/>
          <w:color w:val="auto"/>
        </w:rPr>
        <w:t xml:space="preserve"> to reimburse the Issuing Bank shall be for the account of such Lender to the extent of such payment.</w:t>
      </w:r>
    </w:p>
    <w:p>
      <w:pPr>
        <w:spacing w:after="0" w:line="178"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Replacement of the Issuing Bank</w:t>
      </w:r>
      <w:r>
        <w:rPr>
          <w:rFonts w:ascii="Times New Roman" w:cs="Times New Roman" w:eastAsia="Times New Roman" w:hAnsi="Times New Roman"/>
          <w:sz w:val="22"/>
          <w:szCs w:val="22"/>
          <w:color w:val="auto"/>
        </w:rPr>
        <w:t xml:space="preserve">. The Issuing Bank may be replaced at any time by written agreement among the Borrower, the Administrative Agent, the replaced Issuing Bank and the successor Issuing Bank. The Administrative Agent shall notify the Lenders of any such replacement of the Issuing Bank. At the time any such replacement shall become effective, the Borrower shall pay all unpaid fees accrued for the account of the replaced Issuing Bank pursuant to </w:t>
      </w:r>
      <w:r>
        <w:rPr>
          <w:rFonts w:ascii="Times New Roman" w:cs="Times New Roman" w:eastAsia="Times New Roman" w:hAnsi="Times New Roman"/>
          <w:sz w:val="22"/>
          <w:szCs w:val="22"/>
          <w:u w:val="single" w:color="auto"/>
          <w:color w:val="auto"/>
        </w:rPr>
        <w:t>Section 3.05(b)</w:t>
      </w:r>
      <w:r>
        <w:rPr>
          <w:rFonts w:ascii="Times New Roman" w:cs="Times New Roman" w:eastAsia="Times New Roman" w:hAnsi="Times New Roman"/>
          <w:sz w:val="22"/>
          <w:szCs w:val="22"/>
          <w:color w:val="auto"/>
        </w:rPr>
        <w:t>.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the Issuing Bank hereunder, the replaced Issuing Bank shall remain a party hereto and shall continue to have all the rights and obligations of the Issuing Bank under this Agreement with respect to Letters of Credit issued by it prior to such replacement, but shall not be required to issue additional Letters of Credit.</w:t>
      </w:r>
    </w:p>
    <w:p>
      <w:pPr>
        <w:spacing w:after="0" w:line="182" w:lineRule="exact"/>
        <w:rPr>
          <w:sz w:val="20"/>
          <w:szCs w:val="20"/>
          <w:color w:val="auto"/>
        </w:rPr>
      </w:pPr>
    </w:p>
    <w:p>
      <w:pPr>
        <w:jc w:val="both"/>
        <w:ind w:right="399" w:firstLine="1498"/>
        <w:spacing w:after="0" w:line="243" w:lineRule="auto"/>
        <w:rPr>
          <w:sz w:val="20"/>
          <w:szCs w:val="20"/>
          <w:color w:val="auto"/>
        </w:rPr>
      </w:pPr>
      <w:r>
        <w:rPr>
          <w:rFonts w:ascii="Times New Roman" w:cs="Times New Roman" w:eastAsia="Times New Roman" w:hAnsi="Times New Roman"/>
          <w:sz w:val="21"/>
          <w:szCs w:val="21"/>
          <w:color w:val="auto"/>
        </w:rPr>
        <w:t>(j)</w:t>
      </w:r>
      <w:r>
        <w:rPr>
          <w:rFonts w:ascii="Times New Roman" w:cs="Times New Roman" w:eastAsia="Times New Roman" w:hAnsi="Times New Roman"/>
          <w:sz w:val="21"/>
          <w:szCs w:val="21"/>
          <w:u w:val="single" w:color="auto"/>
          <w:color w:val="auto"/>
        </w:rPr>
        <w:t>Cash Collateralization</w:t>
      </w:r>
      <w:r>
        <w:rPr>
          <w:rFonts w:ascii="Times New Roman" w:cs="Times New Roman" w:eastAsia="Times New Roman" w:hAnsi="Times New Roman"/>
          <w:sz w:val="21"/>
          <w:szCs w:val="21"/>
          <w:color w:val="auto"/>
        </w:rPr>
        <w:t xml:space="preserve">. If any Event of Default shall occur and be continuing and the Borrower receives written (including email) notice from the Administrative Agent or the Required Lenders demanding the deposit of Cash Collateral pursuant to this </w:t>
      </w:r>
      <w:r>
        <w:rPr>
          <w:rFonts w:ascii="Times New Roman" w:cs="Times New Roman" w:eastAsia="Times New Roman" w:hAnsi="Times New Roman"/>
          <w:sz w:val="21"/>
          <w:szCs w:val="21"/>
          <w:u w:val="single" w:color="auto"/>
          <w:color w:val="auto"/>
        </w:rPr>
        <w:t>Section 2.07(j)</w:t>
      </w:r>
      <w:r>
        <w:rPr>
          <w:rFonts w:ascii="Times New Roman" w:cs="Times New Roman" w:eastAsia="Times New Roman" w:hAnsi="Times New Roman"/>
          <w:sz w:val="21"/>
          <w:szCs w:val="21"/>
          <w:color w:val="auto"/>
        </w:rPr>
        <w:t xml:space="preserve">, or the Borrower is required to pay to the Administrative Agent the excess attributable to an LC Exposure in connection with any prepayment pursuant to </w:t>
      </w:r>
      <w:r>
        <w:rPr>
          <w:rFonts w:ascii="Times New Roman" w:cs="Times New Roman" w:eastAsia="Times New Roman" w:hAnsi="Times New Roman"/>
          <w:sz w:val="21"/>
          <w:szCs w:val="21"/>
          <w:u w:val="single" w:color="auto"/>
          <w:color w:val="auto"/>
        </w:rPr>
        <w:t>Section 3.04(b)(i)</w:t>
      </w:r>
      <w:r>
        <w:rPr>
          <w:rFonts w:ascii="Times New Roman" w:cs="Times New Roman" w:eastAsia="Times New Roman" w:hAnsi="Times New Roman"/>
          <w:sz w:val="21"/>
          <w:szCs w:val="21"/>
          <w:color w:val="auto"/>
        </w:rPr>
        <w:t xml:space="preserve">, then the Borrower shall deposit, in an account with the Administrative Agent, in the name of the Administrative Agent and for the benefit of the Lenders, an amount in cash equal to 103% of the LC Exposure;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Relevant Party described in </w:t>
      </w:r>
      <w:r>
        <w:rPr>
          <w:rFonts w:ascii="Times New Roman" w:cs="Times New Roman" w:eastAsia="Times New Roman" w:hAnsi="Times New Roman"/>
          <w:sz w:val="21"/>
          <w:szCs w:val="21"/>
          <w:u w:val="single" w:color="auto"/>
          <w:color w:val="auto"/>
        </w:rPr>
        <w:t>Section 10.01(h)</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10.01(i)</w:t>
      </w:r>
      <w:r>
        <w:rPr>
          <w:rFonts w:ascii="Times New Roman" w:cs="Times New Roman" w:eastAsia="Times New Roman" w:hAnsi="Times New Roman"/>
          <w:sz w:val="21"/>
          <w:szCs w:val="21"/>
          <w:color w:val="auto"/>
        </w:rPr>
        <w:t xml:space="preserve">. At any time that there shall exist a Defaulting Lender, within one Business Day following the written request of the Administrative Agent or the Issuing Bank (with a copy to the Administrative Agent) the Borrower shall Cash Collateralize the Issuing Bank’s Fronting Exposure with respect to such Defaulting Lender (determined after giving effect to </w:t>
      </w:r>
      <w:r>
        <w:rPr>
          <w:rFonts w:ascii="Times New Roman" w:cs="Times New Roman" w:eastAsia="Times New Roman" w:hAnsi="Times New Roman"/>
          <w:sz w:val="21"/>
          <w:szCs w:val="21"/>
          <w:u w:val="single" w:color="auto"/>
          <w:color w:val="auto"/>
        </w:rPr>
        <w:t>Section 4.04(a)</w:t>
      </w:r>
    </w:p>
    <w:p>
      <w:pPr>
        <w:ind w:left="360" w:hanging="358"/>
        <w:spacing w:after="0" w:line="237" w:lineRule="auto"/>
        <w:tabs>
          <w:tab w:leader="none" w:pos="360" w:val="left"/>
        </w:tabs>
        <w:numPr>
          <w:ilvl w:val="0"/>
          <w:numId w:val="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and any Cash Collateral provided by such</w:t>
      </w:r>
    </w:p>
    <w:p>
      <w:pPr>
        <w:ind w:left="5140"/>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92" w:name="page93"/>
    <w:bookmarkEnd w:id="92"/>
    <w:p>
      <w:pPr>
        <w:jc w:val="both"/>
        <w:ind w:right="399"/>
        <w:spacing w:after="0" w:line="244" w:lineRule="auto"/>
        <w:rPr>
          <w:sz w:val="20"/>
          <w:szCs w:val="20"/>
          <w:color w:val="auto"/>
        </w:rPr>
      </w:pPr>
      <w:r>
        <w:rPr>
          <w:rFonts w:ascii="Times New Roman" w:cs="Times New Roman" w:eastAsia="Times New Roman" w:hAnsi="Times New Roman"/>
          <w:sz w:val="22"/>
          <w:szCs w:val="22"/>
          <w:color w:val="auto"/>
        </w:rPr>
        <w:t xml:space="preserve">Defaulting Lender) in an amount not less than the Fronting Exposure. The Borrower may use proceeds of Borrowings for the provision of Cash Collateral required pursuant to this </w:t>
      </w:r>
      <w:r>
        <w:rPr>
          <w:rFonts w:ascii="Times New Roman" w:cs="Times New Roman" w:eastAsia="Times New Roman" w:hAnsi="Times New Roman"/>
          <w:sz w:val="22"/>
          <w:szCs w:val="22"/>
          <w:u w:val="single" w:color="auto"/>
          <w:color w:val="auto"/>
        </w:rPr>
        <w:t>clause (j)</w:t>
      </w:r>
      <w:r>
        <w:rPr>
          <w:rFonts w:ascii="Times New Roman" w:cs="Times New Roman" w:eastAsia="Times New Roman" w:hAnsi="Times New Roman"/>
          <w:sz w:val="22"/>
          <w:szCs w:val="22"/>
          <w:color w:val="auto"/>
        </w:rPr>
        <w:t xml:space="preserve"> to the extent the Borrower is otherwise permitted to request and incur Borrowings pursuant to the terms of this Agreement.</w:t>
      </w:r>
    </w:p>
    <w:p>
      <w:pPr>
        <w:spacing w:after="0" w:line="173" w:lineRule="exact"/>
        <w:rPr>
          <w:sz w:val="20"/>
          <w:szCs w:val="20"/>
          <w:color w:val="auto"/>
        </w:rPr>
      </w:pPr>
    </w:p>
    <w:p>
      <w:pPr>
        <w:jc w:val="both"/>
        <w:ind w:left="120" w:right="399" w:firstLine="1724"/>
        <w:spacing w:after="0" w:line="245" w:lineRule="auto"/>
        <w:tabs>
          <w:tab w:leader="none" w:pos="212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Security Interest</w:t>
      </w:r>
      <w:r>
        <w:rPr>
          <w:rFonts w:ascii="Times New Roman" w:cs="Times New Roman" w:eastAsia="Times New Roman" w:hAnsi="Times New Roman"/>
          <w:sz w:val="21"/>
          <w:szCs w:val="21"/>
          <w:color w:val="auto"/>
        </w:rPr>
        <w:t xml:space="preserve">. The Borrower, and to the extent provided by any Defaulting Lender, such Defaulting Lender, hereby grants to the Administrative Agent, for the benefit of the Issuing Bank, and agree to maintain, a first priority security interest in all such Cash Collateral as security for, in the case of the Borrower, its obligations with respect to Letters of Credit and, in the case of the Defaulting Lender, its obligation to fund participations in respect of Letters of Credit, in each case to be applied pursuant to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below. If at any time the Administrative Agent determines that Cash Collateral is subject to any right or claim of any Person other than the Administrative Agent and the Issuing Bank as herein provided, or that the total amount of such Cash Collateral is less than the Fronting Exposure, the Borrower will, promptly upon written (including email) demand by the Administrative Agent, pay or provide to the Administrative Agent additional Cash Collateral in an amount sufficient to eliminate such deficiency (after giving effect to any Cash Collateral provided by the Defaulting Lender).</w:t>
      </w:r>
    </w:p>
    <w:p>
      <w:pPr>
        <w:spacing w:after="0" w:line="177" w:lineRule="exact"/>
        <w:rPr>
          <w:rFonts w:ascii="Times New Roman" w:cs="Times New Roman" w:eastAsia="Times New Roman" w:hAnsi="Times New Roman"/>
          <w:sz w:val="21"/>
          <w:szCs w:val="21"/>
          <w:color w:val="auto"/>
        </w:rPr>
      </w:pPr>
    </w:p>
    <w:p>
      <w:pPr>
        <w:jc w:val="both"/>
        <w:ind w:left="120" w:right="399" w:firstLine="1724"/>
        <w:spacing w:after="0" w:line="233" w:lineRule="auto"/>
        <w:tabs>
          <w:tab w:leader="none" w:pos="212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xml:space="preserve">. Notwithstanding anything to the contrary contained in this Agreement, Cash Collateral provided under this </w:t>
      </w:r>
      <w:r>
        <w:rPr>
          <w:rFonts w:ascii="Times New Roman" w:cs="Times New Roman" w:eastAsia="Times New Roman" w:hAnsi="Times New Roman"/>
          <w:sz w:val="22"/>
          <w:szCs w:val="22"/>
          <w:u w:val="single" w:color="auto"/>
          <w:color w:val="auto"/>
        </w:rPr>
        <w:t>Section 2.07(j)</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in respect of Letters of Credit shall be applied, in the case of the Defaulting Lender,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Cash Collateral as may otherwise be provided for herein. Thereafter, Cash Collateral shall be applied by the Administrative Agent to reimburse the Issuing Bank for LC Disbursements for which it has not been reimbursed and, to the extent not so applied, shall be held for the satisfaction of the reimbursement obligations of the Borrower for the LC Exposure at such time or, if the maturity of the Loans has been accelerated, be applied to satisfy other obligations of the Borrower and the Guarantors under this Agreement or the other Loan Documents.</w:t>
      </w:r>
    </w:p>
    <w:p>
      <w:pPr>
        <w:spacing w:after="0" w:line="187" w:lineRule="exact"/>
        <w:rPr>
          <w:sz w:val="20"/>
          <w:szCs w:val="20"/>
          <w:color w:val="auto"/>
        </w:rPr>
      </w:pPr>
    </w:p>
    <w:p>
      <w:pPr>
        <w:jc w:val="both"/>
        <w:ind w:left="120" w:right="399" w:firstLine="1722"/>
        <w:spacing w:after="0" w:line="232"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Termination of Requirement</w:t>
      </w:r>
      <w:r>
        <w:rPr>
          <w:rFonts w:ascii="Times New Roman" w:cs="Times New Roman" w:eastAsia="Times New Roman" w:hAnsi="Times New Roman"/>
          <w:sz w:val="22"/>
          <w:szCs w:val="22"/>
          <w:color w:val="auto"/>
        </w:rPr>
        <w:t xml:space="preserve">. Cash Collateral (or the appropriate portion thereof) provided to reduce the Issuing Bank’s Fronting Exposure shall no longer be required to be held as Cash Collateral pursuant to this </w:t>
      </w:r>
      <w:r>
        <w:rPr>
          <w:rFonts w:ascii="Times New Roman" w:cs="Times New Roman" w:eastAsia="Times New Roman" w:hAnsi="Times New Roman"/>
          <w:sz w:val="22"/>
          <w:szCs w:val="22"/>
          <w:u w:val="single" w:color="auto"/>
          <w:color w:val="auto"/>
        </w:rPr>
        <w:t>Section 2.07(j)</w:t>
      </w:r>
      <w:r>
        <w:rPr>
          <w:rFonts w:ascii="Times New Roman" w:cs="Times New Roman" w:eastAsia="Times New Roman" w:hAnsi="Times New Roman"/>
          <w:sz w:val="22"/>
          <w:szCs w:val="22"/>
          <w:color w:val="auto"/>
        </w:rPr>
        <w:t xml:space="preserve"> following (A) the elimination of the applicable Fronting Exposure (including by the termination of Defaulting Lender status of the applicable Lender), or (B) the determination by the Administrative Agent and the Issuing Bank that there exists excess Cash Collateral;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the Person providing Cash Collateral and the Issuing Bank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 that Cash Collateral shall be held to support future anticipated Fronting Exposure or other obligations;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to the extent that such Cash Collateral was provided by the Borrower, such Cash Collateral shall remain subject to the security interest granted pursuant to the Loan Documents. If the Borrower is required to provide an amount of Cash Collateral hereunder as a result of the occurrence of an Event of Default, and the Borrower is not otherwise required to pay to the Administrative Agent the excess attributable to an LC Exposure in connection with any prepayment pursuant to </w:t>
      </w:r>
      <w:r>
        <w:rPr>
          <w:rFonts w:ascii="Times New Roman" w:cs="Times New Roman" w:eastAsia="Times New Roman" w:hAnsi="Times New Roman"/>
          <w:sz w:val="22"/>
          <w:szCs w:val="22"/>
          <w:u w:val="single" w:color="auto"/>
          <w:color w:val="auto"/>
        </w:rPr>
        <w:t>Section 3.04(b)(i)</w:t>
      </w:r>
      <w:r>
        <w:rPr>
          <w:rFonts w:ascii="Times New Roman" w:cs="Times New Roman" w:eastAsia="Times New Roman" w:hAnsi="Times New Roman"/>
          <w:sz w:val="22"/>
          <w:szCs w:val="22"/>
          <w:color w:val="auto"/>
        </w:rPr>
        <w:t>, then such amount (to the extent not applied as aforesaid) shall be returned to the Borrower within three (3) Business Days after all Events of Default have been cured or waived.</w:t>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93" w:name="page94"/>
    <w:bookmarkEnd w:id="93"/>
    <w:p>
      <w:pPr>
        <w:jc w:val="both"/>
        <w:ind w:left="120" w:right="399" w:firstLine="1722"/>
        <w:spacing w:after="0" w:line="233" w:lineRule="auto"/>
        <w:rPr>
          <w:sz w:val="20"/>
          <w:szCs w:val="20"/>
          <w:color w:val="auto"/>
        </w:rPr>
      </w:pPr>
      <w:r>
        <w:rPr>
          <w:rFonts w:ascii="Times New Roman" w:cs="Times New Roman" w:eastAsia="Times New Roman" w:hAnsi="Times New Roman"/>
          <w:sz w:val="22"/>
          <w:szCs w:val="22"/>
          <w:color w:val="auto"/>
        </w:rPr>
        <w:t xml:space="preserve">(iv)The Borrower’s obligation to deposit Cash Collateral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2.07(j)</w:t>
      </w:r>
      <w:r>
        <w:rPr>
          <w:rFonts w:ascii="Times New Roman" w:cs="Times New Roman" w:eastAsia="Times New Roman" w:hAnsi="Times New Roman"/>
          <w:sz w:val="22"/>
          <w:szCs w:val="22"/>
          <w:color w:val="auto"/>
        </w:rPr>
        <w:t xml:space="preserve"> shall be absolute and unconditional, without regard to whether any beneficiary of any such Letter of Credit has attempted to draw down all or a portion of such amount under the terms of a Letter of Credit, and, to the fullest extent permitted by applicable law, shall not be subject to any defense or be affected by a right of set-off, counterclaim or recoupment that the Borrower or any of the other Relevant Parties may now or hereafter have against any such beneficiary, the Issuing Bank, the Administrative Agent, the Lenders or any other Person for any reason whatsoever. The Administrative Agent shall have exclusive dominion and control, including the exclusive right of withdrawal, over such Cash Collateral. Other than any interest earned on the investment of such Cash Collateral, which investments shall be made at the option and sole discretion of the Administrative Agent with the consent of the Borrower and at the Borrower’s risk and expense, such Cash Collateral shall not bear interest. Interest or profits, if any, on such investments shall constitute additional Cash Collateral.</w:t>
      </w:r>
    </w:p>
    <w:p>
      <w:pPr>
        <w:spacing w:after="0" w:line="185" w:lineRule="exact"/>
        <w:rPr>
          <w:sz w:val="20"/>
          <w:szCs w:val="20"/>
          <w:color w:val="auto"/>
        </w:rPr>
      </w:pPr>
    </w:p>
    <w:p>
      <w:pPr>
        <w:jc w:val="both"/>
        <w:ind w:right="399" w:firstLine="1498"/>
        <w:spacing w:after="0" w:line="246" w:lineRule="auto"/>
        <w:rPr>
          <w:sz w:val="20"/>
          <w:szCs w:val="20"/>
          <w:color w:val="auto"/>
        </w:rPr>
      </w:pPr>
      <w:r>
        <w:rPr>
          <w:rFonts w:ascii="Times New Roman" w:cs="Times New Roman" w:eastAsia="Times New Roman" w:hAnsi="Times New Roman"/>
          <w:sz w:val="21"/>
          <w:szCs w:val="21"/>
          <w:color w:val="auto"/>
        </w:rPr>
        <w:t>(k)</w:t>
      </w:r>
      <w:r>
        <w:rPr>
          <w:rFonts w:ascii="Times New Roman" w:cs="Times New Roman" w:eastAsia="Times New Roman" w:hAnsi="Times New Roman"/>
          <w:sz w:val="21"/>
          <w:szCs w:val="21"/>
          <w:u w:val="single" w:color="auto"/>
          <w:color w:val="auto"/>
        </w:rPr>
        <w:t>Applicability of ISP</w:t>
      </w:r>
      <w:r>
        <w:rPr>
          <w:rFonts w:ascii="Times New Roman" w:cs="Times New Roman" w:eastAsia="Times New Roman" w:hAnsi="Times New Roman"/>
          <w:sz w:val="21"/>
          <w:szCs w:val="21"/>
          <w:color w:val="auto"/>
        </w:rPr>
        <w:t>. Unless otherwise expressly agreed by the Issuing Bank and the Borrower when a Letter of Credit is issued, the rules of the ISP shall apply to each Letter of Credit. Notwithstanding the foregoing, the Issuing Bank shall not be responsible to the Borrower for, and the Issuing Bank’s rights and remedies against the Borrower shall not be impaired by, any action or inaction of the Issuing Bank required or permitted under any law, order, or practice that is required or permitted to be applied to any Letter of Credit or this Agreement, including the law or any order of a jurisdiction where the Issuing Bank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1"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22"/>
          <w:szCs w:val="22"/>
          <w:u w:val="single" w:color="auto"/>
          <w:color w:val="auto"/>
        </w:rPr>
        <w:t>Calculation of Maximum Stated Amount</w:t>
      </w:r>
      <w:r>
        <w:rPr>
          <w:rFonts w:ascii="Times New Roman" w:cs="Times New Roman" w:eastAsia="Times New Roman" w:hAnsi="Times New Roman"/>
          <w:sz w:val="22"/>
          <w:szCs w:val="22"/>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77" w:lineRule="exact"/>
        <w:rPr>
          <w:sz w:val="20"/>
          <w:szCs w:val="20"/>
          <w:color w:val="auto"/>
        </w:rPr>
      </w:pPr>
    </w:p>
    <w:p>
      <w:pPr>
        <w:jc w:val="both"/>
        <w:ind w:right="399" w:firstLine="1498"/>
        <w:spacing w:after="0" w:line="232"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u w:val="single" w:color="auto"/>
          <w:color w:val="auto"/>
        </w:rPr>
        <w:t>Letters of Credit Issued for Subsidiaries</w:t>
      </w:r>
      <w:r>
        <w:rPr>
          <w:rFonts w:ascii="Times New Roman" w:cs="Times New Roman" w:eastAsia="Times New Roman" w:hAnsi="Times New Roman"/>
          <w:sz w:val="22"/>
          <w:szCs w:val="22"/>
          <w:color w:val="auto"/>
        </w:rPr>
        <w:t>. Notwithstanding that a Letter of Credit issued or outstanding hereunder is in support of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(a) shall be obligated as a primary obligor to reimburse, or to cause the applicable Subsidiary to reimburse, the applicable Issuing Bank hereunder for any and all drawings under such Letter of Credit as if such Letter of Credit had been issued solely for the account of the Borrower and (b) irrevocably waives any and all defenses that might otherwise be available to it as a guarantor or surety of any or all of the obligations of such Subsidiary in respect of such Letter of Credit. The Borrower hereby acknowledges that the issuance of Letters of Credit for the account of any of its Subsidiaries inures to the benefit of the Borrower and that the Borrower’s business derives substantial benefits from the businesses of such Subsidiaries. To the extent that any Letter of Credit is issued for the account of any Subsidiary of the Borrower, the Borrower agrees that (i) such Subsidiary shall have no</w:t>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94" w:name="page95"/>
    <w:bookmarkEnd w:id="94"/>
    <w:p>
      <w:pPr>
        <w:jc w:val="both"/>
        <w:ind w:right="399"/>
        <w:spacing w:after="0" w:line="234" w:lineRule="auto"/>
        <w:rPr>
          <w:sz w:val="20"/>
          <w:szCs w:val="20"/>
          <w:color w:val="auto"/>
        </w:rPr>
      </w:pPr>
      <w:r>
        <w:rPr>
          <w:rFonts w:ascii="Times New Roman" w:cs="Times New Roman" w:eastAsia="Times New Roman" w:hAnsi="Times New Roman"/>
          <w:sz w:val="22"/>
          <w:szCs w:val="22"/>
          <w:color w:val="auto"/>
        </w:rPr>
        <w:t>rights against any Issuing Bank, the Administrative Agent, any Lender or any of their respective Related Parites, (ii) the Borrower shall be responsible for the obligations in respect of such Letter of Credit under this Agreement, any Letter of Credit Agreements and any application or reimbursement agreement with respect to such Letter of Credit, (iii) the Borrower shall have the sole right to give instructions and make agreements with respect to this Agreement, such Letter of Credit and any Letter of Credit Agreements pertaining thereto and the disposition of any documents related thereto and (iv) the Borrower shall have all powers and rights in respect of any security arising in connection with such Letter of Credit and the transactions related thereto. The Borrower shall, at the request of the Issuing Bank, cause such Subsidiary to execute and deliver an agreement confirming the terms specified in the immediately preceding sentence and acknowledging that it is bound thereby.</w:t>
      </w:r>
    </w:p>
    <w:p>
      <w:pPr>
        <w:spacing w:after="0" w:line="179"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Reliance on Notices</w:t>
      </w:r>
      <w:r>
        <w:rPr>
          <w:rFonts w:ascii="Times New Roman" w:cs="Times New Roman" w:eastAsia="Times New Roman" w:hAnsi="Times New Roman"/>
          <w:sz w:val="22"/>
          <w:szCs w:val="22"/>
          <w:color w:val="auto"/>
        </w:rPr>
        <w:t>. The Administrative Agent shall be entitled to rely upon, and shall be fully protected in relying upon, any Borrowing Request, Interest Election Request, request for Letter of Credit or similar notice believed by the Administrative Agent to be genuine. The Administrative Agent may assume that each Person executing and delivering any notice in accordance herewith was duly authorized, unless the responsible individual acting thereon for the Administrative Agent has actual knowledge to the contrary.</w:t>
      </w:r>
    </w:p>
    <w:p>
      <w:pPr>
        <w:spacing w:after="0" w:line="17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Payments of Principal and Interest; Prepayments; Fees</w:t>
      </w:r>
    </w:p>
    <w:p>
      <w:pPr>
        <w:spacing w:after="0" w:line="182"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Repayment of Loans</w:t>
      </w:r>
      <w:r>
        <w:rPr>
          <w:rFonts w:ascii="Times New Roman" w:cs="Times New Roman" w:eastAsia="Times New Roman" w:hAnsi="Times New Roman"/>
          <w:sz w:val="22"/>
          <w:szCs w:val="22"/>
          <w:color w:val="auto"/>
        </w:rPr>
        <w:t xml:space="preserve">. The Borrower hereby unconditionally promises to pay to the Administrative Agent for the account of each Lender (a) the amounts specified in </w:t>
      </w:r>
      <w:r>
        <w:rPr>
          <w:rFonts w:ascii="Times New Roman" w:cs="Times New Roman" w:eastAsia="Times New Roman" w:hAnsi="Times New Roman"/>
          <w:sz w:val="22"/>
          <w:szCs w:val="22"/>
          <w:u w:val="single" w:color="auto"/>
          <w:color w:val="auto"/>
        </w:rPr>
        <w:t>Section 3.04(b)</w:t>
      </w:r>
      <w:r>
        <w:rPr>
          <w:rFonts w:ascii="Times New Roman" w:cs="Times New Roman" w:eastAsia="Times New Roman" w:hAnsi="Times New Roman"/>
          <w:sz w:val="22"/>
          <w:szCs w:val="22"/>
          <w:color w:val="auto"/>
        </w:rPr>
        <w:t xml:space="preserve"> on the dates set forth therein and (b) if not so paid, the then unpaid principal amount of each Loan on the Termination Date.</w:t>
      </w:r>
    </w:p>
    <w:p>
      <w:pPr>
        <w:spacing w:after="0" w:line="180"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3.02</w:t>
      </w:r>
      <w:r>
        <w:rPr>
          <w:sz w:val="20"/>
          <w:szCs w:val="20"/>
          <w:color w:val="auto"/>
        </w:rPr>
        <w:tab/>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ABR Loans</w:t>
      </w:r>
      <w:r>
        <w:rPr>
          <w:rFonts w:ascii="Times New Roman" w:cs="Times New Roman" w:eastAsia="Times New Roman" w:hAnsi="Times New Roman"/>
          <w:sz w:val="22"/>
          <w:szCs w:val="22"/>
          <w:color w:val="auto"/>
        </w:rPr>
        <w:t xml:space="preserve">. The Loans comprising each ABR Borrowing shall bear interest at the Alternate Base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but in no event to exceed the Highest Lawful Rate.</w:t>
      </w:r>
    </w:p>
    <w:p>
      <w:pPr>
        <w:spacing w:after="0" w:line="158" w:lineRule="exact"/>
        <w:rPr>
          <w:sz w:val="20"/>
          <w:szCs w:val="20"/>
          <w:color w:val="auto"/>
        </w:rPr>
      </w:pPr>
    </w:p>
    <w:p>
      <w:pPr>
        <w:ind w:right="399" w:firstLine="1498"/>
        <w:spacing w:after="0" w:line="24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SOFR Loans</w:t>
      </w:r>
      <w:r>
        <w:rPr>
          <w:rFonts w:ascii="Times New Roman" w:cs="Times New Roman" w:eastAsia="Times New Roman" w:hAnsi="Times New Roman"/>
          <w:sz w:val="22"/>
          <w:szCs w:val="22"/>
          <w:color w:val="auto"/>
        </w:rPr>
        <w:t xml:space="preserve">. The Loans comprising each SOFR Borrowing shall bear interest at the sum of (i) the Term SOFR for the Interest Period in effect for such Borrowing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Applicable Margin, but in no event to exceed the Highest Lawful Rate.</w:t>
      </w:r>
    </w:p>
    <w:p>
      <w:pPr>
        <w:spacing w:after="0" w:line="173"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Post-Default Rate</w:t>
      </w:r>
      <w:r>
        <w:rPr>
          <w:rFonts w:ascii="Times New Roman" w:cs="Times New Roman" w:eastAsia="Times New Roman" w:hAnsi="Times New Roman"/>
          <w:sz w:val="22"/>
          <w:szCs w:val="22"/>
          <w:color w:val="auto"/>
        </w:rPr>
        <w:t xml:space="preserve">. Notwithstanding the foregoing, if (i) an Event of Default specified in </w:t>
      </w:r>
      <w:r>
        <w:rPr>
          <w:rFonts w:ascii="Times New Roman" w:cs="Times New Roman" w:eastAsia="Times New Roman" w:hAnsi="Times New Roman"/>
          <w:sz w:val="22"/>
          <w:szCs w:val="22"/>
          <w:u w:val="single" w:color="auto"/>
          <w:color w:val="auto"/>
        </w:rPr>
        <w:t>Sections 10.01(a)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10.01(b)</w:t>
      </w:r>
      <w:r>
        <w:rPr>
          <w:rFonts w:ascii="Times New Roman" w:cs="Times New Roman" w:eastAsia="Times New Roman" w:hAnsi="Times New Roman"/>
          <w:sz w:val="22"/>
          <w:szCs w:val="22"/>
          <w:color w:val="auto"/>
        </w:rPr>
        <w:t xml:space="preserve"> (with respect to interest and fees only), </w:t>
      </w:r>
      <w:r>
        <w:rPr>
          <w:rFonts w:ascii="Times New Roman" w:cs="Times New Roman" w:eastAsia="Times New Roman" w:hAnsi="Times New Roman"/>
          <w:sz w:val="22"/>
          <w:szCs w:val="22"/>
          <w:u w:val="single" w:color="auto"/>
          <w:color w:val="auto"/>
        </w:rPr>
        <w:t>10.01(h), 10.01(i)</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10.01(j)</w:t>
      </w:r>
      <w:r>
        <w:rPr>
          <w:rFonts w:ascii="Times New Roman" w:cs="Times New Roman" w:eastAsia="Times New Roman" w:hAnsi="Times New Roman"/>
          <w:sz w:val="22"/>
          <w:szCs w:val="22"/>
          <w:color w:val="auto"/>
        </w:rPr>
        <w:t xml:space="preserve"> has occurred and is continuing, or (ii) the Required Lenders so elect (or direct the Administrative Agent to so elect) in connection with the occurrence and continuance of any other Event of Default, then in each case all Loans outstanding shall bear interest, after as well as before judgment, at a rate per annum equal to two percent (2%)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rate otherwise applicable to such Loans (including the Applicable Margin applicable with respect to such Loans), but in no event to exceed the Highest Lawful Rate.</w:t>
      </w:r>
    </w:p>
    <w:p>
      <w:pPr>
        <w:spacing w:after="0" w:line="183" w:lineRule="exact"/>
        <w:rPr>
          <w:sz w:val="20"/>
          <w:szCs w:val="20"/>
          <w:color w:val="auto"/>
        </w:rPr>
      </w:pPr>
    </w:p>
    <w:p>
      <w:pPr>
        <w:jc w:val="both"/>
        <w:ind w:right="399" w:firstLine="1498"/>
        <w:spacing w:after="0" w:line="243"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Interest Payment Dates</w:t>
      </w:r>
      <w:r>
        <w:rPr>
          <w:rFonts w:ascii="Times New Roman" w:cs="Times New Roman" w:eastAsia="Times New Roman" w:hAnsi="Times New Roman"/>
          <w:sz w:val="22"/>
          <w:szCs w:val="22"/>
          <w:color w:val="auto"/>
        </w:rPr>
        <w:t xml:space="preserve">. Accrued interest on each Loan shall be payable in arrears on each Interest Payment Date for such Loan and on the Termination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ind w:left="5140"/>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95" w:name="page96"/>
    <w:bookmarkEnd w:id="95"/>
    <w:p>
      <w:pPr>
        <w:jc w:val="both"/>
        <w:ind w:right="399" w:firstLine="2"/>
        <w:spacing w:after="0" w:line="236" w:lineRule="auto"/>
        <w:tabs>
          <w:tab w:leader="none" w:pos="30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interest accrued pursuant to </w:t>
      </w:r>
      <w:r>
        <w:rPr>
          <w:rFonts w:ascii="Times New Roman" w:cs="Times New Roman" w:eastAsia="Times New Roman" w:hAnsi="Times New Roman"/>
          <w:sz w:val="22"/>
          <w:szCs w:val="22"/>
          <w:u w:val="single" w:color="auto"/>
          <w:color w:val="auto"/>
        </w:rPr>
        <w:t>Section 3.02(c)</w:t>
      </w:r>
      <w:r>
        <w:rPr>
          <w:rFonts w:ascii="Times New Roman" w:cs="Times New Roman" w:eastAsia="Times New Roman" w:hAnsi="Times New Roman"/>
          <w:sz w:val="22"/>
          <w:szCs w:val="22"/>
          <w:color w:val="auto"/>
        </w:rPr>
        <w:t xml:space="preserve"> shall be payable on demand, (ii) in the event of any repayment or prepayment of any Loan (other than an optional prepayment of an ABR Loan prior to the Termination Date),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181"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Interest Rate Computations</w:t>
      </w:r>
      <w:r>
        <w:rPr>
          <w:rFonts w:ascii="Times New Roman" w:cs="Times New Roman" w:eastAsia="Times New Roman" w:hAnsi="Times New Roman"/>
          <w:sz w:val="22"/>
          <w:szCs w:val="22"/>
          <w:color w:val="auto"/>
        </w:rPr>
        <w:t>. All computations of interest for Base Rate Loans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 The applicable Alternate Base Rate or Term SOFR shall be determined by the Administrative Agent, and such determination shall be conclusive absent manifest error, and be binding upon the parties hereto.</w:t>
      </w:r>
    </w:p>
    <w:p>
      <w:pPr>
        <w:spacing w:after="0" w:line="183"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3.03</w:t>
      </w:r>
      <w:r>
        <w:rPr>
          <w:sz w:val="20"/>
          <w:szCs w:val="20"/>
          <w:color w:val="auto"/>
        </w:rPr>
        <w:tab/>
      </w:r>
      <w:r>
        <w:rPr>
          <w:rFonts w:ascii="Times New Roman" w:cs="Times New Roman" w:eastAsia="Times New Roman" w:hAnsi="Times New Roman"/>
          <w:sz w:val="21"/>
          <w:szCs w:val="21"/>
          <w:u w:val="single" w:color="auto"/>
          <w:color w:val="auto"/>
        </w:rPr>
        <w:t>Changed Circumstances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43"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Circumstances Affecting Benchmark Availability</w:t>
      </w:r>
      <w:r>
        <w:rPr>
          <w:rFonts w:ascii="Times New Roman" w:cs="Times New Roman" w:eastAsia="Times New Roman" w:hAnsi="Times New Roman"/>
          <w:sz w:val="21"/>
          <w:szCs w:val="21"/>
          <w:color w:val="auto"/>
        </w:rPr>
        <w:t xml:space="preserve">. Subject to subsection (c)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Term SOFR for the applicable Interest Period with respect to a proposed SOFR Loan on or prior to the first day of such Interest Period or (ii) the Required Lenders shall determine (which determination shall be conclusive and binding absent manifest error) that Term SOFR does not adequately and fairly reflect the cost to such Lenders of making or maintaining such Loans during such Interest Period, then, in each case, the Administrative Agent shall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Required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ABR Loans in the amount specified therein and (B) any outstanding affected SOFR Loans will be deemed to have been converted into ABR Loans at the end of the applicable Interest Period. Upon any such prepayment or conversion, the Borrower shall also pay accrued interest on the amount so prepaid or converted, together with any additional amounts, if any, required pursuant to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Laws Affecting SOFR Availability</w:t>
      </w:r>
      <w:r>
        <w:rPr>
          <w:rFonts w:ascii="Times New Roman" w:cs="Times New Roman" w:eastAsia="Times New Roman" w:hAnsi="Times New Roman"/>
          <w:sz w:val="22"/>
          <w:szCs w:val="22"/>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96" w:name="page97"/>
    <w:bookmarkEnd w:id="96"/>
    <w:p>
      <w:pPr>
        <w:jc w:val="both"/>
        <w:ind w:right="399"/>
        <w:spacing w:after="0" w:line="243" w:lineRule="auto"/>
        <w:rPr>
          <w:sz w:val="20"/>
          <w:szCs w:val="20"/>
          <w:color w:val="auto"/>
        </w:rPr>
      </w:pPr>
      <w:r>
        <w:rPr>
          <w:rFonts w:ascii="Times New Roman" w:cs="Times New Roman" w:eastAsia="Times New Roman" w:hAnsi="Times New Roman"/>
          <w:sz w:val="21"/>
          <w:szCs w:val="21"/>
          <w:color w:val="auto"/>
        </w:rPr>
        <w:t xml:space="preserve">honor its obligations hereunder to make or maintain any SOFR Loan, or to determine or charge interest based upon SOFR, the Term SOFR Reference Rate or Term SOFR, such Lender shall promptly give notice thereof to the Administrative Agent and the Administrative Agent shall give notice to the Borrower and the other Lenders as soon as reasonably practicable. Thereafter, until the Administrative Agent notifies the Borrower that such circumstances no longer exist, (i) any obligation of the Lenders to make SOFR Loans, and any right of the Borrower to convert any Loan to a SOFR Loan or continue any Loan as a SOFR Loan, shall be suspended and (ii) if necessary to avoid such illegality, the Administrative Agent shall compute the Alternate Base Rate without reference to clause (c) of the definition of “Alternate Base Rate”, in each case until each such affected Lender notifies the Administrative Agent and the Borrower that the circumstances giving rise to such determination no longer exist. Upon receipt of such notice, the Borrower shall, if necessary to avoid such illegality, upon demand from any Lender (with a copy to the Administrative Agent), prepay or, if applicable, convert all affected SOFR Loans to ABR Loans (in each case, if necessary to avoid such illegality, the Administrative Agent shall compute the Alternate Base Rate without reference to clause (c) of the definition of “Alternate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 shall also pay accrued interest on the amount so prepaid or converted, together with any additional amounts, if any, required pursuant to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ind w:left="2240" w:hanging="740"/>
        <w:spacing w:after="0"/>
        <w:tabs>
          <w:tab w:leader="none" w:pos="22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Setting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399" w:firstLine="2249"/>
        <w:spacing w:after="0" w:line="234" w:lineRule="auto"/>
        <w:tabs>
          <w:tab w:leader="none" w:pos="262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Dallas, Texas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2"/>
          <w:szCs w:val="22"/>
          <w:u w:val="single" w:color="auto"/>
          <w:color w:val="auto"/>
        </w:rPr>
        <w:t>Section 3.03(c)(i)</w:t>
      </w:r>
      <w:r>
        <w:rPr>
          <w:rFonts w:ascii="Times New Roman" w:cs="Times New Roman" w:eastAsia="Times New Roman" w:hAnsi="Times New Roman"/>
          <w:sz w:val="22"/>
          <w:szCs w:val="22"/>
          <w:color w:val="auto"/>
        </w:rPr>
        <w:t xml:space="preserve"> will occur prior to the applicable Benchmark Transition Start Date.</w:t>
      </w:r>
    </w:p>
    <w:p>
      <w:pPr>
        <w:spacing w:after="0" w:line="179" w:lineRule="exact"/>
        <w:rPr>
          <w:rFonts w:ascii="Times New Roman" w:cs="Times New Roman" w:eastAsia="Times New Roman" w:hAnsi="Times New Roman"/>
          <w:sz w:val="22"/>
          <w:szCs w:val="22"/>
          <w:color w:val="auto"/>
        </w:rPr>
      </w:pPr>
    </w:p>
    <w:p>
      <w:pPr>
        <w:jc w:val="both"/>
        <w:ind w:right="399" w:firstLine="2249"/>
        <w:spacing w:after="0" w:line="236" w:lineRule="auto"/>
        <w:tabs>
          <w:tab w:leader="none" w:pos="262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1" w:lineRule="exact"/>
        <w:rPr>
          <w:rFonts w:ascii="Times New Roman" w:cs="Times New Roman" w:eastAsia="Times New Roman" w:hAnsi="Times New Roman"/>
          <w:sz w:val="22"/>
          <w:szCs w:val="22"/>
          <w:color w:val="auto"/>
        </w:rPr>
      </w:pPr>
    </w:p>
    <w:p>
      <w:pPr>
        <w:jc w:val="both"/>
        <w:ind w:right="379" w:firstLine="2249"/>
        <w:spacing w:after="0" w:line="234" w:lineRule="auto"/>
        <w:tabs>
          <w:tab w:leader="none" w:pos="262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cs="Times New Roman" w:eastAsia="Times New Roman" w:hAnsi="Times New Roman"/>
          <w:sz w:val="22"/>
          <w:szCs w:val="22"/>
          <w:u w:val="single" w:color="auto"/>
          <w:color w:val="auto"/>
        </w:rPr>
        <w:t>Section 3.03(c)(iv)</w:t>
      </w:r>
      <w:r>
        <w:rPr>
          <w:rFonts w:ascii="Times New Roman" w:cs="Times New Roman" w:eastAsia="Times New Roman" w:hAnsi="Times New Roman"/>
          <w:sz w:val="22"/>
          <w:szCs w:val="22"/>
          <w:color w:val="auto"/>
        </w:rPr>
        <w:t xml:space="preserve"> and (y) the</w:t>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97" w:name="page98"/>
    <w:bookmarkEnd w:id="97"/>
    <w:p>
      <w:pPr>
        <w:jc w:val="both"/>
        <w:ind w:right="399"/>
        <w:spacing w:after="0" w:line="235" w:lineRule="auto"/>
        <w:rPr>
          <w:sz w:val="20"/>
          <w:szCs w:val="20"/>
          <w:color w:val="auto"/>
        </w:rPr>
      </w:pPr>
      <w:r>
        <w:rPr>
          <w:rFonts w:ascii="Times New Roman" w:cs="Times New Roman" w:eastAsia="Times New Roman" w:hAnsi="Times New Roman"/>
          <w:sz w:val="22"/>
          <w:szCs w:val="22"/>
          <w:color w:val="auto"/>
        </w:rPr>
        <w:t xml:space="preserve">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2"/>
          <w:szCs w:val="22"/>
          <w:u w:val="single" w:color="auto"/>
          <w:color w:val="auto"/>
        </w:rPr>
        <w:t>Section 3.03(c)</w:t>
      </w:r>
      <w:r>
        <w:rPr>
          <w:rFonts w:ascii="Times New Roman" w:cs="Times New Roman" w:eastAsia="Times New Roman" w:hAnsi="Times New Roman"/>
          <w:sz w:val="22"/>
          <w:szCs w:val="2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2"/>
          <w:szCs w:val="22"/>
          <w:u w:val="single" w:color="auto"/>
          <w:color w:val="auto"/>
        </w:rPr>
        <w:t>Section 3.03(c)</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right="399" w:firstLine="2249"/>
        <w:spacing w:after="0" w:line="232" w:lineRule="auto"/>
        <w:tabs>
          <w:tab w:leader="none" w:pos="262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91" w:lineRule="exact"/>
        <w:rPr>
          <w:rFonts w:ascii="Times New Roman" w:cs="Times New Roman" w:eastAsia="Times New Roman" w:hAnsi="Times New Roman"/>
          <w:sz w:val="22"/>
          <w:szCs w:val="22"/>
          <w:color w:val="auto"/>
        </w:rPr>
      </w:pPr>
    </w:p>
    <w:p>
      <w:pPr>
        <w:jc w:val="both"/>
        <w:ind w:right="399" w:firstLine="2249"/>
        <w:spacing w:after="0" w:line="234" w:lineRule="auto"/>
        <w:tabs>
          <w:tab w:leader="none" w:pos="262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 Benchmark Unavailability Period, (A)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(B) any outstanding affected SOFR Loans will be deemed to have been converted to ABR Loans at the end of the applicable Interest Period.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79"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u w:val="single" w:color="auto"/>
          <w:color w:val="auto"/>
        </w:rPr>
        <w:t>Prepayments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240" w:hanging="740"/>
        <w:spacing w:after="0"/>
        <w:tabs>
          <w:tab w:leader="none" w:pos="22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Prepayments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399" w:firstLine="2249"/>
        <w:spacing w:after="0" w:line="243" w:lineRule="auto"/>
        <w:tabs>
          <w:tab w:leader="none" w:pos="262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the right at any time and from time to time to prepay any Borrowing in whole or in part, subject to prior notice in accordance with </w:t>
      </w:r>
      <w:r>
        <w:rPr>
          <w:rFonts w:ascii="Times New Roman" w:cs="Times New Roman" w:eastAsia="Times New Roman" w:hAnsi="Times New Roman"/>
          <w:sz w:val="22"/>
          <w:szCs w:val="22"/>
          <w:u w:val="single" w:color="auto"/>
          <w:color w:val="auto"/>
        </w:rPr>
        <w:t>Section 3.04(a)(ii)</w:t>
      </w:r>
      <w:r>
        <w:rPr>
          <w:rFonts w:ascii="Times New Roman" w:cs="Times New Roman" w:eastAsia="Times New Roman" w:hAnsi="Times New Roman"/>
          <w:sz w:val="22"/>
          <w:szCs w:val="22"/>
          <w:color w:val="auto"/>
        </w:rPr>
        <w:t>.</w:t>
      </w:r>
    </w:p>
    <w:p>
      <w:pPr>
        <w:ind w:left="5140"/>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98" w:name="page99"/>
    <w:bookmarkEnd w:id="98"/>
    <w:p>
      <w:pPr>
        <w:jc w:val="both"/>
        <w:ind w:left="-740" w:right="399" w:firstLine="2249"/>
        <w:spacing w:after="0" w:line="233" w:lineRule="auto"/>
        <w:tabs>
          <w:tab w:leader="none" w:pos="188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notify the Administrative Agent by telephone, facsimile or other electronic transmission of any prepayment hereunder (A) in the case of prepayment of a SOFR Borrowing, not later than 11:00 a.m., Dallas, Texas time, three (3) U.S. Government Securities Business Days before the date of prepayment, or (B) in the case of prepayment of an ABR Borrowing, not later than 11:00 a.m., Dallas, Texas time, one (1) Business Day before the date of prepayment. Each such notice shall be irrevocable and shall specify the prepayment date and the principal amount of each Borrowing or portion thereof to be prepaid.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Each prepayment of a Borrowing shall be applied ratably to the Loans included in the prepaid Borrowing. Prepayments pursuant to this </w:t>
      </w:r>
      <w:r>
        <w:rPr>
          <w:rFonts w:ascii="Times New Roman" w:cs="Times New Roman" w:eastAsia="Times New Roman" w:hAnsi="Times New Roman"/>
          <w:sz w:val="22"/>
          <w:szCs w:val="22"/>
          <w:u w:val="single" w:color="auto"/>
          <w:color w:val="auto"/>
        </w:rPr>
        <w:t>Section 3.04(a)</w:t>
      </w:r>
      <w:r>
        <w:rPr>
          <w:rFonts w:ascii="Times New Roman" w:cs="Times New Roman" w:eastAsia="Times New Roman" w:hAnsi="Times New Roman"/>
          <w:sz w:val="22"/>
          <w:szCs w:val="22"/>
          <w:color w:val="auto"/>
        </w:rPr>
        <w:t xml:space="preserve"> shall be accompanied by accrued interest to the extent required by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ind w:left="1500" w:hanging="740"/>
        <w:spacing w:after="0"/>
        <w:tabs>
          <w:tab w:leader="none" w:pos="15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40" w:right="399" w:firstLine="2249"/>
        <w:spacing w:after="0" w:line="251" w:lineRule="auto"/>
        <w:tabs>
          <w:tab w:leader="none" w:pos="1881"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the total Revolving Credit Exposures exceeds the Maximum Credit Amount, then the Borrower shall promptly, and in any event within one Business Day thereafter, (A) prepay the Borrowings in an aggregate principal amount equal to such excess, and (B) if any excess remains after prepaying all of the Borrowings as a result of LC Exposure, pay to the Administrative Agent on behalf of the Lenders an amount equal to such excess to be held as Cash Collateral as provided in </w:t>
      </w:r>
      <w:r>
        <w:rPr>
          <w:rFonts w:ascii="Times New Roman" w:cs="Times New Roman" w:eastAsia="Times New Roman" w:hAnsi="Times New Roman"/>
          <w:sz w:val="21"/>
          <w:szCs w:val="21"/>
          <w:u w:val="single" w:color="auto"/>
          <w:color w:val="auto"/>
        </w:rPr>
        <w:t>Section 2.07(j)</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both"/>
        <w:ind w:left="-740" w:right="379" w:firstLine="2249"/>
        <w:spacing w:after="0" w:line="232" w:lineRule="auto"/>
        <w:tabs>
          <w:tab w:leader="none" w:pos="188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Relevant Party receives any Net Sale Proceeds from one or more Dispositions, the aggregate amount of which exceeds $5,000,000 during any fiscal year, the Borrower shall, no later than three (3) Business Days following receipt of such Net Sale Proceeds, prepay the Loans in an aggregate amount equal to 100% of such Net Sale Proceeds;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so long as no Event of Default then exists and is continuing, and such Net Sale Proceeds will be used to purchase Property (other than inventory and working capital) used or to be used in the businesses permitted pursuant to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 xml:space="preserve"> within 365 days following the date of such Disposition, such Net Sale Proceeds shall not be required to be used to prepay the Loans on such date;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if all or any portion of such Net Sale Proceeds not required to prepay the Loans as provided above in this </w:t>
      </w:r>
      <w:r>
        <w:rPr>
          <w:rFonts w:ascii="Times New Roman" w:cs="Times New Roman" w:eastAsia="Times New Roman" w:hAnsi="Times New Roman"/>
          <w:sz w:val="22"/>
          <w:szCs w:val="22"/>
          <w:u w:val="single" w:color="auto"/>
          <w:color w:val="auto"/>
        </w:rPr>
        <w:t>Section 3.04(b)(ii)</w:t>
      </w:r>
      <w:r>
        <w:rPr>
          <w:rFonts w:ascii="Times New Roman" w:cs="Times New Roman" w:eastAsia="Times New Roman" w:hAnsi="Times New Roman"/>
          <w:sz w:val="22"/>
          <w:szCs w:val="22"/>
          <w:color w:val="auto"/>
        </w:rPr>
        <w:t xml:space="preserve"> are not so reinvested within such 365-day period (or, in any case, such earlier date, if any, as the relevant Relevant Party determines not to reinvest the Net Sale Proceeds from such Disposition as set forth above), such remaining portion shall be used to prepay the Loans on the last day of such period (or such earlier date, as the case may be) as provided above in this </w:t>
      </w:r>
      <w:r>
        <w:rPr>
          <w:rFonts w:ascii="Times New Roman" w:cs="Times New Roman" w:eastAsia="Times New Roman" w:hAnsi="Times New Roman"/>
          <w:sz w:val="22"/>
          <w:szCs w:val="22"/>
          <w:u w:val="single" w:color="auto"/>
          <w:color w:val="auto"/>
        </w:rPr>
        <w:t>Section 3.04(b)(ii)</w:t>
      </w:r>
      <w:r>
        <w:rPr>
          <w:rFonts w:ascii="Times New Roman" w:cs="Times New Roman" w:eastAsia="Times New Roman" w:hAnsi="Times New Roman"/>
          <w:sz w:val="22"/>
          <w:szCs w:val="22"/>
          <w:color w:val="auto"/>
        </w:rPr>
        <w:t xml:space="preserve"> without regard to the preceding proviso. Nothing in this paragraph is intended to permit any Relevant Party to consummate any sale or other Disposition of Property other than as permitted under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of this Agreement, and any such sale or Disposition of Property shall be a violation of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as applicable, and a breach of this Agreement.</w:t>
      </w:r>
    </w:p>
    <w:p>
      <w:pPr>
        <w:spacing w:after="0" w:line="189" w:lineRule="exact"/>
        <w:rPr>
          <w:rFonts w:ascii="Times New Roman" w:cs="Times New Roman" w:eastAsia="Times New Roman" w:hAnsi="Times New Roman"/>
          <w:sz w:val="22"/>
          <w:szCs w:val="22"/>
          <w:color w:val="auto"/>
        </w:rPr>
      </w:pPr>
    </w:p>
    <w:p>
      <w:pPr>
        <w:jc w:val="both"/>
        <w:ind w:left="-740" w:right="399" w:firstLine="2249"/>
        <w:spacing w:after="0" w:line="235" w:lineRule="auto"/>
        <w:tabs>
          <w:tab w:leader="none" w:pos="188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Relevant Party receives at any time any Net Cash Proceeds from one or more Recovery Events, the aggregate amount of which exceeds $5,000,000 during any fiscal year, then the Borrower shall, no later than three (3) Business Days following such receipt of such Net Cash Proceeds, prepay the Loans in an aggregate amount equal to 100% of the Net Cash Proceeds from such Recovery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so long as no Event of</w:t>
      </w:r>
    </w:p>
    <w:p>
      <w:pPr>
        <w:spacing w:after="0" w:line="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655955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99" w:name="page100"/>
    <w:bookmarkEnd w:id="99"/>
    <w:p>
      <w:pPr>
        <w:jc w:val="both"/>
        <w:ind w:right="399"/>
        <w:spacing w:after="0" w:line="246" w:lineRule="auto"/>
        <w:rPr>
          <w:sz w:val="20"/>
          <w:szCs w:val="20"/>
          <w:color w:val="auto"/>
        </w:rPr>
      </w:pPr>
      <w:r>
        <w:rPr>
          <w:rFonts w:ascii="Times New Roman" w:cs="Times New Roman" w:eastAsia="Times New Roman" w:hAnsi="Times New Roman"/>
          <w:sz w:val="21"/>
          <w:szCs w:val="21"/>
          <w:color w:val="auto"/>
        </w:rPr>
        <w:t xml:space="preserve">Default then exists and is continuing, such Net Cash Proceeds shall not be required to prepay the Loans on such date to the extent that such Net Cash Proceeds will be used to replace or restore any Property in respect of which such Net Cash Proceeds were paid or to acquire other Property useful in the business of the Relevant Parties, within 365 days following the date of the receipt of such Net Cash Proceeds;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if all or any portion of such Net Cash Proceeds are not so used within such 365-day period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 any case, such earlier date, if any, as the relevant Relevant Party determines not to reinvest the Net Cash Proceeds relating to such Recovery Event as set forth above), such remaining portion shall be used to prepay the Loans on the last day of such period (or such earlier date, as the case may be) as provided above in this </w:t>
      </w:r>
      <w:r>
        <w:rPr>
          <w:rFonts w:ascii="Times New Roman" w:cs="Times New Roman" w:eastAsia="Times New Roman" w:hAnsi="Times New Roman"/>
          <w:sz w:val="21"/>
          <w:szCs w:val="21"/>
          <w:u w:val="single" w:color="auto"/>
          <w:color w:val="auto"/>
        </w:rPr>
        <w:t>Section 3.04(b)(iii)</w:t>
      </w:r>
      <w:r>
        <w:rPr>
          <w:rFonts w:ascii="Times New Roman" w:cs="Times New Roman" w:eastAsia="Times New Roman" w:hAnsi="Times New Roman"/>
          <w:sz w:val="21"/>
          <w:szCs w:val="21"/>
          <w:color w:val="auto"/>
        </w:rPr>
        <w:t xml:space="preserve"> without regard to the proviso or the immediately preceding proviso.</w:t>
      </w:r>
    </w:p>
    <w:p>
      <w:pPr>
        <w:spacing w:after="0" w:line="175" w:lineRule="exact"/>
        <w:rPr>
          <w:sz w:val="20"/>
          <w:szCs w:val="20"/>
          <w:color w:val="auto"/>
        </w:rPr>
      </w:pPr>
    </w:p>
    <w:p>
      <w:pPr>
        <w:jc w:val="both"/>
        <w:ind w:right="399" w:firstLine="2249"/>
        <w:spacing w:after="0" w:line="236" w:lineRule="auto"/>
        <w:tabs>
          <w:tab w:leader="none" w:pos="262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Relevant Party incurs any Indebtedness (other than Indebtedness permitted under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the Borrower shall, on the date of such incurrence, prepay the Loans in an aggregate amount equal to one hundred percent (100%) of the Net Debt Proceeds received in respect of such Indebtedness. Nothing in this paragraph is intended to permit any Relevant Party to incur Indebtedness other than as permitted under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and any such incurrence of Indebtedness shall be a violation of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and a breach of this Agreement.</w:t>
      </w:r>
    </w:p>
    <w:p>
      <w:pPr>
        <w:spacing w:after="0" w:line="181" w:lineRule="exact"/>
        <w:rPr>
          <w:rFonts w:ascii="Times New Roman" w:cs="Times New Roman" w:eastAsia="Times New Roman" w:hAnsi="Times New Roman"/>
          <w:sz w:val="22"/>
          <w:szCs w:val="22"/>
          <w:color w:val="auto"/>
        </w:rPr>
      </w:pPr>
    </w:p>
    <w:p>
      <w:pPr>
        <w:jc w:val="both"/>
        <w:ind w:right="399" w:firstLine="2249"/>
        <w:spacing w:after="0" w:line="253" w:lineRule="auto"/>
        <w:tabs>
          <w:tab w:leader="none" w:pos="2621"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prepayment of Borrowings pursuant to </w:t>
      </w:r>
      <w:r>
        <w:rPr>
          <w:rFonts w:ascii="Times New Roman" w:cs="Times New Roman" w:eastAsia="Times New Roman" w:hAnsi="Times New Roman"/>
          <w:sz w:val="21"/>
          <w:szCs w:val="21"/>
          <w:u w:val="single" w:color="auto"/>
          <w:color w:val="auto"/>
        </w:rPr>
        <w:t>Section 3.04(b)</w:t>
      </w:r>
      <w:r>
        <w:rPr>
          <w:rFonts w:ascii="Times New Roman" w:cs="Times New Roman" w:eastAsia="Times New Roman" w:hAnsi="Times New Roman"/>
          <w:sz w:val="21"/>
          <w:szCs w:val="21"/>
          <w:color w:val="auto"/>
        </w:rPr>
        <w:t xml:space="preserve"> shall be applied ratably to the Loans included in the prepaid Borrowings. Each prepayment (A) pursuant to </w:t>
      </w:r>
      <w:r>
        <w:rPr>
          <w:rFonts w:ascii="Times New Roman" w:cs="Times New Roman" w:eastAsia="Times New Roman" w:hAnsi="Times New Roman"/>
          <w:sz w:val="21"/>
          <w:szCs w:val="21"/>
          <w:u w:val="single" w:color="auto"/>
          <w:color w:val="auto"/>
        </w:rPr>
        <w:t>Section 3.04(b)</w:t>
      </w:r>
    </w:p>
    <w:p>
      <w:pPr>
        <w:jc w:val="both"/>
        <w:ind w:right="399" w:firstLine="2"/>
        <w:spacing w:after="0" w:line="232" w:lineRule="auto"/>
        <w:tabs>
          <w:tab w:leader="none" w:pos="277" w:val="left"/>
        </w:tabs>
        <w:numPr>
          <w:ilvl w:val="0"/>
          <w:numId w:val="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shall be applied to the Revolving Borrowings and the LC Exposure as described in </w:t>
      </w:r>
      <w:r>
        <w:rPr>
          <w:rFonts w:ascii="Times New Roman" w:cs="Times New Roman" w:eastAsia="Times New Roman" w:hAnsi="Times New Roman"/>
          <w:sz w:val="22"/>
          <w:szCs w:val="22"/>
          <w:u w:val="single" w:color="auto"/>
          <w:color w:val="auto"/>
        </w:rPr>
        <w:t>Section 3.04(b)(i)</w:t>
      </w:r>
      <w:r>
        <w:rPr>
          <w:rFonts w:ascii="Times New Roman" w:cs="Times New Roman" w:eastAsia="Times New Roman" w:hAnsi="Times New Roman"/>
          <w:sz w:val="22"/>
          <w:szCs w:val="22"/>
          <w:color w:val="auto"/>
        </w:rPr>
        <w:t xml:space="preserve">, and (B) pursuant to </w:t>
      </w:r>
      <w:r>
        <w:rPr>
          <w:rFonts w:ascii="Times New Roman" w:cs="Times New Roman" w:eastAsia="Times New Roman" w:hAnsi="Times New Roman"/>
          <w:sz w:val="22"/>
          <w:szCs w:val="22"/>
          <w:u w:val="single" w:color="auto"/>
          <w:color w:val="auto"/>
        </w:rPr>
        <w:t>Section 3.04(b)(ii)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shall be applied to the unpaid principal amount of each Loan. Prepayments pursuant to </w:t>
      </w:r>
      <w:r>
        <w:rPr>
          <w:rFonts w:ascii="Times New Roman" w:cs="Times New Roman" w:eastAsia="Times New Roman" w:hAnsi="Times New Roman"/>
          <w:sz w:val="22"/>
          <w:szCs w:val="22"/>
          <w:u w:val="single" w:color="auto"/>
          <w:color w:val="auto"/>
        </w:rPr>
        <w:t>Section 3.04(b)</w:t>
      </w:r>
      <w:r>
        <w:rPr>
          <w:rFonts w:ascii="Times New Roman" w:cs="Times New Roman" w:eastAsia="Times New Roman" w:hAnsi="Times New Roman"/>
          <w:sz w:val="22"/>
          <w:szCs w:val="22"/>
          <w:color w:val="auto"/>
        </w:rPr>
        <w:t xml:space="preserve"> shall be accompanied by accrued interest to the extent required by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Each prepayment of Borrowings pursuant to </w:t>
      </w:r>
      <w:r>
        <w:rPr>
          <w:rFonts w:ascii="Times New Roman" w:cs="Times New Roman" w:eastAsia="Times New Roman" w:hAnsi="Times New Roman"/>
          <w:sz w:val="22"/>
          <w:szCs w:val="22"/>
          <w:u w:val="single" w:color="auto"/>
          <w:color w:val="auto"/>
        </w:rPr>
        <w:t>Section 3.04(b)</w:t>
      </w:r>
      <w:r>
        <w:rPr>
          <w:rFonts w:ascii="Times New Roman" w:cs="Times New Roman" w:eastAsia="Times New Roman" w:hAnsi="Times New Roman"/>
          <w:sz w:val="22"/>
          <w:szCs w:val="22"/>
          <w:color w:val="auto"/>
        </w:rPr>
        <w:t xml:space="preserve"> shall be applied, first, ratably to any ABR Borrowings then outstanding, and, second, to any SOFR Borrowings then outstanding, and if more than one SOFR Borrowing is then outstanding, to each such SOFR Borrowing in order of priority beginning with the SOFR Borrowing with the least number of days remaining in the Interest Period applicable thereto and ending with the SOFR Borrowing with the most number of days remaining in the Interest Period applicable thereto. Any prepayment of Borrowings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3.04(b)</w:t>
      </w:r>
      <w:r>
        <w:rPr>
          <w:rFonts w:ascii="Times New Roman" w:cs="Times New Roman" w:eastAsia="Times New Roman" w:hAnsi="Times New Roman"/>
          <w:sz w:val="22"/>
          <w:szCs w:val="22"/>
          <w:color w:val="auto"/>
        </w:rPr>
        <w:t xml:space="preserve"> shall not result in a permanent reduction in the Commitments.</w:t>
      </w:r>
    </w:p>
    <w:p>
      <w:pPr>
        <w:spacing w:after="0" w:line="177"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No Premium or Penalty</w:t>
      </w:r>
      <w:r>
        <w:rPr>
          <w:rFonts w:ascii="Times New Roman" w:cs="Times New Roman" w:eastAsia="Times New Roman" w:hAnsi="Times New Roman"/>
          <w:sz w:val="22"/>
          <w:szCs w:val="22"/>
          <w:color w:val="auto"/>
        </w:rPr>
        <w:t xml:space="preserve">. Prepayments permitted or required under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shall be without premium or penalty, except as required under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Commitment Fees</w:t>
      </w:r>
      <w:r>
        <w:rPr>
          <w:rFonts w:ascii="Times New Roman" w:cs="Times New Roman" w:eastAsia="Times New Roman" w:hAnsi="Times New Roman"/>
          <w:sz w:val="21"/>
          <w:szCs w:val="21"/>
          <w:color w:val="auto"/>
        </w:rPr>
        <w:t>. The Borrower agrees to pay to the Administrative Agent for the account of each Lender a commitment fee, which shall accrue at the applicable Commitment Fee Rate on the average daily amount of the unused amount of the Commitment of such Lender during the Availability Period. Accrued commitment fees shall be payable in arrears on the last day of March, June, September and December of each year and on the Termination Date, commencing on the first such date to occur during the Availability Period. All commitment fees shall be computed on the basis of a year of 360 days, unless such computation would exceed the Highest Lawful Rate, in which case interest shall be computed on the basis of a year of 365 days (or 366 days in a leap year), and shall be payable for the actual number of days elapsed (including the first day but excluding the last day). For avoidance of doubt, the “unused amount”</w:t>
      </w:r>
    </w:p>
    <w:p>
      <w:pPr>
        <w:spacing w:after="0" w:line="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00" w:name="page101"/>
    <w:bookmarkEnd w:id="100"/>
    <w:p>
      <w:pPr>
        <w:jc w:val="both"/>
        <w:ind w:right="419"/>
        <w:spacing w:after="0" w:line="258" w:lineRule="auto"/>
        <w:rPr>
          <w:sz w:val="20"/>
          <w:szCs w:val="20"/>
          <w:color w:val="auto"/>
        </w:rPr>
      </w:pPr>
      <w:r>
        <w:rPr>
          <w:rFonts w:ascii="Times New Roman" w:cs="Times New Roman" w:eastAsia="Times New Roman" w:hAnsi="Times New Roman"/>
          <w:sz w:val="22"/>
          <w:szCs w:val="22"/>
          <w:color w:val="auto"/>
        </w:rPr>
        <w:t>of the Commitment of any Lender shall be determined by subtracting such Lender’s Revolving Credit Exposure on the date of determination from such Lender’s Commitment on such date of determination.</w:t>
      </w:r>
    </w:p>
    <w:p>
      <w:pPr>
        <w:spacing w:after="0" w:line="158" w:lineRule="exact"/>
        <w:rPr>
          <w:sz w:val="20"/>
          <w:szCs w:val="20"/>
          <w:color w:val="auto"/>
        </w:rPr>
      </w:pPr>
    </w:p>
    <w:p>
      <w:pPr>
        <w:jc w:val="both"/>
        <w:ind w:right="399" w:firstLine="1498"/>
        <w:spacing w:after="0" w:line="232"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xml:space="preserve">. The Borrower agrees to pay (i) to the Administrative Agent for the account of each Lender a participation fee with respect to its participations in Letters of Credit, which shall accrue at the same Applicable Margin used to determine the interest rate applicable to SOFR Loans on the average daily amount of such Lender’s LC Exposure (excluding any portion thereof attributable to unreimbursed LC Disbursements) during the period from and including the date of this Agreement to but excluding the later of the date on which such Lender’s Commitment terminates and the date on which such Lender ceases to have any LC Exposure, (ii) to the Issuing Bank a fronting fee, which shall accrue at the rate of 0.125%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such fee be less than $500 during any quarter, and (iii) to the Issuing Bank, for its own account, its standard fees with respect to the issuance, amendment, transfer, renewal or extension of any Letter of Credit or processing of drawings thereunder payable upon the effectiveness thereof. Participation and fronting fees accrued through and including the last day of March, June, September and December of each year shall be payable on the third (3rd) Business Day following such last day, commencing on the first such date to occur during the Availability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such fees shall be payable on the Termination Date and any such fees accruing after the Termination Date shall be payable on demand. Any other fees payable to the Issuing Bank pursuant to this </w:t>
      </w:r>
      <w:r>
        <w:rPr>
          <w:rFonts w:ascii="Times New Roman" w:cs="Times New Roman" w:eastAsia="Times New Roman" w:hAnsi="Times New Roman"/>
          <w:sz w:val="22"/>
          <w:szCs w:val="22"/>
          <w:u w:val="single" w:color="auto"/>
          <w:color w:val="auto"/>
        </w:rPr>
        <w:t>Section 3.05(b)</w:t>
      </w:r>
      <w:r>
        <w:rPr>
          <w:rFonts w:ascii="Times New Roman" w:cs="Times New Roman" w:eastAsia="Times New Roman" w:hAnsi="Times New Roman"/>
          <w:sz w:val="22"/>
          <w:szCs w:val="22"/>
          <w:color w:val="auto"/>
        </w:rPr>
        <w:t xml:space="preserve"> shall be payable within ten (10) days after demand. All participation fees and fronting fees shall be computed on the basis of a year of 360 days, unless such computation would exceed the Highest Lawful Rate, in which case interest shall be computed on the basis of a year of 365 days (or 366 days in a leap year), and shall be payable for the actual number of days elapsed (including the first day but excluding the last day).</w:t>
      </w:r>
    </w:p>
    <w:p>
      <w:pPr>
        <w:spacing w:after="0" w:line="180"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Administrative Agent Fees</w:t>
      </w:r>
      <w:r>
        <w:rPr>
          <w:rFonts w:ascii="Times New Roman" w:cs="Times New Roman" w:eastAsia="Times New Roman" w:hAnsi="Times New Roman"/>
          <w:sz w:val="22"/>
          <w:szCs w:val="22"/>
          <w:color w:val="auto"/>
        </w:rPr>
        <w:t>. The Borrower agrees to pay to the Administrative Agent, for its own account, fees payable in the amounts and at the times separately agreed between the Borrower and the Administrative Agent.</w:t>
      </w:r>
    </w:p>
    <w:p>
      <w:pPr>
        <w:spacing w:after="0" w:line="16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Payments; Pro Rata Treatment; Sharing of Set-offs</w:t>
      </w:r>
    </w:p>
    <w:p>
      <w:pPr>
        <w:spacing w:after="0" w:line="182"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4.01</w:t>
      </w:r>
      <w:r>
        <w:rPr>
          <w:sz w:val="20"/>
          <w:szCs w:val="20"/>
          <w:color w:val="auto"/>
        </w:rPr>
        <w:tab/>
      </w:r>
      <w:r>
        <w:rPr>
          <w:rFonts w:ascii="Times New Roman" w:cs="Times New Roman" w:eastAsia="Times New Roman" w:hAnsi="Times New Roman"/>
          <w:sz w:val="21"/>
          <w:szCs w:val="21"/>
          <w:u w:val="single" w:color="auto"/>
          <w:color w:val="auto"/>
        </w:rPr>
        <w:t>Payments Generally; Pro Rata Treatment; Sharing of Set-offs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Payments by the Borrower</w:t>
      </w:r>
      <w:r>
        <w:rPr>
          <w:rFonts w:ascii="Times New Roman" w:cs="Times New Roman" w:eastAsia="Times New Roman" w:hAnsi="Times New Roman"/>
          <w:sz w:val="22"/>
          <w:szCs w:val="22"/>
          <w:color w:val="auto"/>
        </w:rPr>
        <w:t xml:space="preserve">. Except as otherwise provided by this Agreement, the Borrower shall make each payment required to be made by the Borrower hereunder (whether of principal, interest, fees, or of amounts payable under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or otherwise) prior to 1:00 p.m., Dallas, Texas time, on the date when due, in immediately available funds, without defense, deduction, recoupment, set-off or counterclaim. Fees, once paid, shall be fully earned and shall not be refundable under any circumstances absent manifest error. Any amounts received after such time on any date may, in the discretion of the Administrative Agent, be deemed to have been received on the next succeeding Business Day for purposes of calculating interest thereon. All such payments shall be made to the Administrative</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01" w:name="page102"/>
    <w:bookmarkEnd w:id="101"/>
    <w:p>
      <w:pPr>
        <w:jc w:val="both"/>
        <w:ind w:right="399"/>
        <w:spacing w:after="0" w:line="235" w:lineRule="auto"/>
        <w:rPr>
          <w:sz w:val="20"/>
          <w:szCs w:val="20"/>
          <w:color w:val="auto"/>
        </w:rPr>
      </w:pPr>
      <w:r>
        <w:rPr>
          <w:rFonts w:ascii="Times New Roman" w:cs="Times New Roman" w:eastAsia="Times New Roman" w:hAnsi="Times New Roman"/>
          <w:sz w:val="22"/>
          <w:szCs w:val="22"/>
          <w:color w:val="auto"/>
        </w:rPr>
        <w:t xml:space="preserve">Agent at its offices specified in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xml:space="preserve">, except payments to be made directly to the applicable Issuing Bank as expressly provided herein and except that payments pursuant to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12.03</w:t>
      </w:r>
      <w:r>
        <w:rPr>
          <w:rFonts w:ascii="Times New Roman" w:cs="Times New Roman" w:eastAsia="Times New Roman" w:hAnsi="Times New Roman"/>
          <w:sz w:val="22"/>
          <w:szCs w:val="22"/>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78"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Application of Insufficient Payments</w:t>
      </w:r>
      <w:r>
        <w:rPr>
          <w:rFonts w:ascii="Times New Roman" w:cs="Times New Roman" w:eastAsia="Times New Roman" w:hAnsi="Times New Roman"/>
          <w:sz w:val="22"/>
          <w:szCs w:val="22"/>
          <w:color w:val="auto"/>
        </w:rPr>
        <w:t>. If at any time insufficient funds are received by and available to the Administrative Agent to pay fully all amounts of principal, unreimbursed LC Disbursements, interest, fees and other amounts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78" w:lineRule="exact"/>
        <w:rPr>
          <w:sz w:val="20"/>
          <w:szCs w:val="20"/>
          <w:color w:val="auto"/>
        </w:rPr>
      </w:pPr>
    </w:p>
    <w:p>
      <w:pPr>
        <w:jc w:val="both"/>
        <w:ind w:right="399" w:firstLine="1498"/>
        <w:spacing w:after="0" w:line="246"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21"/>
          <w:szCs w:val="21"/>
          <w:u w:val="single" w:color="auto"/>
          <w:color w:val="auto"/>
        </w:rPr>
        <w:t>Sharing of Payments by Lenders</w:t>
      </w:r>
      <w:r>
        <w:rPr>
          <w:rFonts w:ascii="Times New Roman" w:cs="Times New Roman" w:eastAsia="Times New Roman" w:hAnsi="Times New Roman"/>
          <w:sz w:val="21"/>
          <w:szCs w:val="21"/>
          <w:color w:val="auto"/>
        </w:rPr>
        <w:t xml:space="preserve">. If any Lender shall, by exercising any right of setoff or counterclaim or otherwise, obtain payment in respect of any principal of or interest on any of its Loans or other obligations hereunder resulting in such Lender receiving payment of a proportion of the aggregate amount of its Loans and other such obligations greater than its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share thereof as provided herein, then the Lender receiving such greater proportion shall (i) notify the Administrative Agent of such fact, and</w:t>
      </w:r>
    </w:p>
    <w:p>
      <w:pPr>
        <w:spacing w:after="0" w:line="1" w:lineRule="exact"/>
        <w:rPr>
          <w:sz w:val="20"/>
          <w:szCs w:val="20"/>
          <w:color w:val="auto"/>
        </w:rPr>
      </w:pPr>
    </w:p>
    <w:p>
      <w:pPr>
        <w:jc w:val="both"/>
        <w:ind w:right="399" w:firstLine="2"/>
        <w:spacing w:after="0" w:line="230" w:lineRule="auto"/>
        <w:tabs>
          <w:tab w:leader="none" w:pos="3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if any such participations are purchased and all or any portion of the payment giving rise thereto is recovered, such participations shall be rescinded and the purchase price restored to the extent of such recovery, without interest, and (B) the provisions of this </w:t>
      </w:r>
      <w:r>
        <w:rPr>
          <w:rFonts w:ascii="Times New Roman" w:cs="Times New Roman" w:eastAsia="Times New Roman" w:hAnsi="Times New Roman"/>
          <w:sz w:val="22"/>
          <w:szCs w:val="22"/>
          <w:u w:val="single" w:color="auto"/>
          <w:color w:val="auto"/>
        </w:rPr>
        <w:t>Section 4.01(c)</w:t>
      </w:r>
      <w:r>
        <w:rPr>
          <w:rFonts w:ascii="Times New Roman" w:cs="Times New Roman" w:eastAsia="Times New Roman" w:hAnsi="Times New Roman"/>
          <w:sz w:val="22"/>
          <w:szCs w:val="22"/>
          <w:color w:val="auto"/>
        </w:rPr>
        <w:t xml:space="preserve"> shall not be construed to apply to</w:t>
      </w:r>
    </w:p>
    <w:p>
      <w:pPr>
        <w:spacing w:after="0" w:line="3" w:lineRule="exact"/>
        <w:rPr>
          <w:rFonts w:ascii="Times New Roman" w:cs="Times New Roman" w:eastAsia="Times New Roman" w:hAnsi="Times New Roman"/>
          <w:sz w:val="22"/>
          <w:szCs w:val="22"/>
          <w:color w:val="auto"/>
        </w:rPr>
      </w:pPr>
    </w:p>
    <w:p>
      <w:pPr>
        <w:jc w:val="both"/>
        <w:ind w:right="399"/>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 any payment made by the Borrower pursuant to and in accordance with the express terms of this Agreement, (2) any payment obtained by a Lender as consideration for the assignment of or sale of a participation in any of its Loans or participations in LC Disbursements to any assignee or participant or (3) the application of Cash Collateral provided for in </w:t>
      </w:r>
      <w:r>
        <w:rPr>
          <w:rFonts w:ascii="Times New Roman" w:cs="Times New Roman" w:eastAsia="Times New Roman" w:hAnsi="Times New Roman"/>
          <w:sz w:val="22"/>
          <w:szCs w:val="22"/>
          <w:u w:val="single" w:color="auto"/>
          <w:color w:val="auto"/>
        </w:rPr>
        <w:t>Section 2.07(j)</w:t>
      </w:r>
      <w:r>
        <w:rPr>
          <w:rFonts w:ascii="Times New Roman" w:cs="Times New Roman" w:eastAsia="Times New Roman" w:hAnsi="Times New Roman"/>
          <w:sz w:val="22"/>
          <w:szCs w:val="22"/>
          <w:color w:val="auto"/>
        </w:rPr>
        <w:t>. 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spacing w:after="0" w:line="180"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Payments by the Borrower; Presumptions by the Administrative Agent</w:t>
      </w:r>
      <w:r>
        <w:rPr>
          <w:rFonts w:ascii="Times New Roman" w:cs="Times New Roman" w:eastAsia="Times New Roman" w:hAnsi="Times New Roman"/>
          <w:sz w:val="22"/>
          <w:szCs w:val="22"/>
          <w:color w:val="auto"/>
        </w:rPr>
        <w:t>. Unless the Administrative Agent shall have received notice from the Borrower prior to the date on which any payment is due to the Administrative Agent for the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applicable Issuing Bank, as the</w:t>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02" w:name="page103"/>
    <w:bookmarkEnd w:id="102"/>
    <w:p>
      <w:pPr>
        <w:jc w:val="both"/>
        <w:ind w:right="399"/>
        <w:spacing w:after="0" w:line="235" w:lineRule="auto"/>
        <w:rPr>
          <w:sz w:val="20"/>
          <w:szCs w:val="20"/>
          <w:color w:val="auto"/>
        </w:rPr>
      </w:pPr>
      <w:r>
        <w:rPr>
          <w:rFonts w:ascii="Times New Roman" w:cs="Times New Roman" w:eastAsia="Times New Roman" w:hAnsi="Times New Roman"/>
          <w:sz w:val="22"/>
          <w:szCs w:val="22"/>
          <w:color w:val="auto"/>
        </w:rPr>
        <w:t>case may be, the amount due. In such event, if the Borrower has not in fact made such payment, then each of the Lenders or the applicable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practices on interbank compensation.</w:t>
      </w:r>
    </w:p>
    <w:p>
      <w:pPr>
        <w:spacing w:after="0" w:line="183"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Certain Deductions by the Administrative Agent</w:t>
      </w:r>
      <w:r>
        <w:rPr>
          <w:rFonts w:ascii="Times New Roman" w:cs="Times New Roman" w:eastAsia="Times New Roman" w:hAnsi="Times New Roman"/>
          <w:sz w:val="22"/>
          <w:szCs w:val="22"/>
          <w:color w:val="auto"/>
        </w:rPr>
        <w:t xml:space="preserve">. If any Lender shall fail to make any payment required to be made by it pursuant to </w:t>
      </w:r>
      <w:r>
        <w:rPr>
          <w:rFonts w:ascii="Times New Roman" w:cs="Times New Roman" w:eastAsia="Times New Roman" w:hAnsi="Times New Roman"/>
          <w:sz w:val="22"/>
          <w:szCs w:val="22"/>
          <w:u w:val="single" w:color="auto"/>
          <w:color w:val="auto"/>
        </w:rPr>
        <w:t>Section 2.05(a)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2.07(d)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2.07(e)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4.02</w:t>
      </w:r>
      <w:r>
        <w:rPr>
          <w:rFonts w:ascii="Times New Roman" w:cs="Times New Roman" w:eastAsia="Times New Roman" w:hAnsi="Times New Roman"/>
          <w:sz w:val="22"/>
          <w:szCs w:val="22"/>
          <w:color w:val="auto"/>
        </w:rPr>
        <w:t xml:space="preserve"> or otherwise hereunder then the Administrative Agent may, in its discretion (notwithstanding any contrary provision hereof), (i) apply any amounts thereafter received by the Administrative Agent for the account of such Lender and for the benefit of the Administrative Agent or the Issuing Bank to satisfy such Lender’s obligations hereunder until all such unsatisfied obligations are fully paid and/or (ii) hold any such amounts in a segregated account as cash collateral for, and application to, any future funding obligations of such Lender hereunder, in the case of each of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in any order as determined by the Administrative Agent in its discretion.</w:t>
      </w:r>
    </w:p>
    <w:p>
      <w:pPr>
        <w:spacing w:after="0" w:line="183"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4.04</w:t>
      </w:r>
      <w:r>
        <w:rPr>
          <w:sz w:val="20"/>
          <w:szCs w:val="20"/>
          <w:color w:val="auto"/>
        </w:rPr>
        <w:tab/>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Defaulting Lender Adjustments</w:t>
      </w:r>
      <w:r>
        <w:rPr>
          <w:rFonts w:ascii="Times New Roman" w:cs="Times New Roman" w:eastAsia="Times New Roman" w:hAnsi="Times New Roman"/>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3" w:lineRule="exact"/>
        <w:rPr>
          <w:sz w:val="20"/>
          <w:szCs w:val="20"/>
          <w:color w:val="auto"/>
        </w:rPr>
      </w:pPr>
    </w:p>
    <w:p>
      <w:pPr>
        <w:jc w:val="both"/>
        <w:ind w:right="399" w:firstLine="2249"/>
        <w:spacing w:after="0" w:line="244" w:lineRule="auto"/>
        <w:tabs>
          <w:tab w:leader="none" w:pos="262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Amendments</w:t>
      </w:r>
      <w:r>
        <w:rPr>
          <w:rFonts w:ascii="Times New Roman" w:cs="Times New Roman" w:eastAsia="Times New Roman" w:hAnsi="Times New Roman"/>
          <w:sz w:val="22"/>
          <w:szCs w:val="22"/>
          <w:color w:val="auto"/>
        </w:rPr>
        <w:t xml:space="preserve">. Such Defaulting Lender’s right to approve or disapprove any amendment, waiver or consent with respect to this Agreement shall be restricted as set forth in the definition of the term “Required Lenders” and in </w:t>
      </w:r>
      <w:r>
        <w:rPr>
          <w:rFonts w:ascii="Times New Roman" w:cs="Times New Roman" w:eastAsia="Times New Roman" w:hAnsi="Times New Roman"/>
          <w:sz w:val="22"/>
          <w:szCs w:val="22"/>
          <w:u w:val="single" w:color="auto"/>
          <w:color w:val="auto"/>
        </w:rPr>
        <w:t>Section 12.02(b)</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right="399" w:firstLine="2249"/>
        <w:spacing w:after="0" w:line="232" w:lineRule="auto"/>
        <w:tabs>
          <w:tab w:leader="none" w:pos="262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Waterfall</w:t>
      </w:r>
      <w:r>
        <w:rPr>
          <w:rFonts w:ascii="Times New Roman" w:cs="Times New Roman" w:eastAsia="Times New Roman" w:hAnsi="Times New Roman"/>
          <w:sz w:val="22"/>
          <w:szCs w:val="22"/>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or otherwise) or received by the Administrative Agent from a Defaulting Lender pursuant to </w:t>
      </w:r>
      <w:r>
        <w:rPr>
          <w:rFonts w:ascii="Times New Roman" w:cs="Times New Roman" w:eastAsia="Times New Roman" w:hAnsi="Times New Roman"/>
          <w:sz w:val="22"/>
          <w:szCs w:val="22"/>
          <w:u w:val="single" w:color="auto"/>
          <w:color w:val="auto"/>
        </w:rPr>
        <w:t>Section 12.09</w:t>
      </w:r>
      <w:r>
        <w:rPr>
          <w:rFonts w:ascii="Times New Roman" w:cs="Times New Roman" w:eastAsia="Times New Roman" w:hAnsi="Times New Roman"/>
          <w:sz w:val="22"/>
          <w:szCs w:val="22"/>
          <w:color w:val="auto"/>
        </w:rPr>
        <w:t xml:space="preserve"> shall be applied at such time or times as may be determined by the Administrative Agent as follows: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payment of any amounts owing by such Defaulting Lender to the Administrative Agent hereunder;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the payment of any amounts owing by such Defaulting Lender to the Issuing Bank;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to Cash Collateralize the applicable Issuing Bank’s Fronting Exposure with respect to such Defaulting Lender in accordance with </w:t>
      </w:r>
      <w:r>
        <w:rPr>
          <w:rFonts w:ascii="Times New Roman" w:cs="Times New Roman" w:eastAsia="Times New Roman" w:hAnsi="Times New Roman"/>
          <w:sz w:val="22"/>
          <w:szCs w:val="22"/>
          <w:u w:val="single" w:color="auto"/>
          <w:color w:val="auto"/>
        </w:rPr>
        <w:t>Section 2.07(j)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xml:space="preserve">, if so determined by the Administrative Agent and the Borrower, to be held in a deposit account and released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order to (x) satisfy such Defaulting Lender’s potential future funding obligations with respect to Loans under this Agreement and (y) Cash Collateralize the applicable Issuing Bank’s future Fronting Exposure with respect to such Defaulting Lender with respect to future Letters of Credit issued under this Agreement, in accordance with </w:t>
      </w:r>
      <w:r>
        <w:rPr>
          <w:rFonts w:ascii="Times New Roman" w:cs="Times New Roman" w:eastAsia="Times New Roman" w:hAnsi="Times New Roman"/>
          <w:sz w:val="22"/>
          <w:szCs w:val="22"/>
          <w:u w:val="single" w:color="auto"/>
          <w:color w:val="auto"/>
        </w:rPr>
        <w:t>Section 2.07(j)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the payment of any amounts owing to the Lenders or the Issuing Bank as a result of any judgment of a court of competent jurisdiction obtained by any</w:t>
      </w:r>
    </w:p>
    <w:p>
      <w:pPr>
        <w:ind w:left="5140"/>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03" w:name="page104"/>
    <w:bookmarkEnd w:id="103"/>
    <w:p>
      <w:pPr>
        <w:jc w:val="both"/>
        <w:ind w:right="399"/>
        <w:spacing w:after="0" w:line="232" w:lineRule="auto"/>
        <w:rPr>
          <w:sz w:val="20"/>
          <w:szCs w:val="20"/>
          <w:color w:val="auto"/>
        </w:rPr>
      </w:pPr>
      <w:r>
        <w:rPr>
          <w:rFonts w:ascii="Times New Roman" w:cs="Times New Roman" w:eastAsia="Times New Roman" w:hAnsi="Times New Roman"/>
          <w:sz w:val="22"/>
          <w:szCs w:val="22"/>
          <w:color w:val="auto"/>
        </w:rPr>
        <w:t xml:space="preserve">Lender or the Issuing Bank against such Defaulting Lender as a result of such Defaulting Lender’s breach of its obligations under this Agreement; </w:t>
      </w: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2"/>
          <w:szCs w:val="22"/>
          <w:i w:val="1"/>
          <w:iCs w:val="1"/>
          <w:color w:val="auto"/>
        </w:rPr>
        <w:t>eighth</w:t>
      </w:r>
      <w:r>
        <w:rPr>
          <w:rFonts w:ascii="Times New Roman" w:cs="Times New Roman" w:eastAsia="Times New Roman" w:hAnsi="Times New Roman"/>
          <w:sz w:val="22"/>
          <w:szCs w:val="22"/>
          <w:color w:val="auto"/>
        </w:rPr>
        <w:t xml:space="preserve">, to such Defaulting Lender or as otherwise directed by a court of competent 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were satisfied or waived, such payment shall be applied solely to pay the Loans of, and LC Disbursements owed to, all Lenders (other than any Defaulting Lender)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prior to being applied to the payment of any Loans of, or LC Disbursements owed to, such Defaulting Lender until such time as all Loans and funded and unfunded participations in Letters of Credit are held by the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Commitments without giving effect to </w:t>
      </w:r>
      <w:r>
        <w:rPr>
          <w:rFonts w:ascii="Times New Roman" w:cs="Times New Roman" w:eastAsia="Times New Roman" w:hAnsi="Times New Roman"/>
          <w:sz w:val="22"/>
          <w:szCs w:val="22"/>
          <w:u w:val="single" w:color="auto"/>
          <w:color w:val="auto"/>
        </w:rPr>
        <w:t>Section 4.04(a)(iv)</w:t>
      </w:r>
      <w:r>
        <w:rPr>
          <w:rFonts w:ascii="Times New Roman" w:cs="Times New Roman" w:eastAsia="Times New Roman" w:hAnsi="Times New Roman"/>
          <w:sz w:val="22"/>
          <w:szCs w:val="22"/>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2"/>
          <w:szCs w:val="22"/>
          <w:u w:val="single" w:color="auto"/>
          <w:color w:val="auto"/>
        </w:rPr>
        <w:t>Section 4.04(a)(ii)</w:t>
      </w:r>
      <w:r>
        <w:rPr>
          <w:rFonts w:ascii="Times New Roman" w:cs="Times New Roman" w:eastAsia="Times New Roman" w:hAnsi="Times New Roman"/>
          <w:sz w:val="22"/>
          <w:szCs w:val="22"/>
          <w:color w:val="auto"/>
        </w:rPr>
        <w:t xml:space="preserve"> shall be deemed paid to and redirected by such Defaulting Lender, and each Lender and Issuing Bank irrevocably consents hereto.</w:t>
      </w:r>
    </w:p>
    <w:p>
      <w:pPr>
        <w:spacing w:after="0" w:line="190" w:lineRule="exact"/>
        <w:rPr>
          <w:sz w:val="20"/>
          <w:szCs w:val="20"/>
          <w:color w:val="auto"/>
        </w:rPr>
      </w:pPr>
    </w:p>
    <w:p>
      <w:pPr>
        <w:ind w:left="3000" w:hanging="751"/>
        <w:spacing w:after="0"/>
        <w:tabs>
          <w:tab w:leader="none" w:pos="30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2995"/>
        <w:spacing w:after="0" w:line="239" w:lineRule="auto"/>
        <w:rPr>
          <w:sz w:val="20"/>
          <w:szCs w:val="20"/>
          <w:color w:val="auto"/>
        </w:rPr>
      </w:pPr>
      <w:r>
        <w:rPr>
          <w:rFonts w:ascii="Times New Roman" w:cs="Times New Roman" w:eastAsia="Times New Roman" w:hAnsi="Times New Roman"/>
          <w:sz w:val="22"/>
          <w:szCs w:val="22"/>
          <w:color w:val="auto"/>
        </w:rPr>
        <w:t xml:space="preserve">(A)No Defaulting Lender shall be entitled to receive any commitment fee pursuant to </w:t>
      </w:r>
      <w:r>
        <w:rPr>
          <w:rFonts w:ascii="Times New Roman" w:cs="Times New Roman" w:eastAsia="Times New Roman" w:hAnsi="Times New Roman"/>
          <w:sz w:val="22"/>
          <w:szCs w:val="22"/>
          <w:u w:val="single" w:color="auto"/>
          <w:color w:val="auto"/>
        </w:rPr>
        <w:t>Section 3.05(a)</w:t>
      </w:r>
      <w:r>
        <w:rPr>
          <w:rFonts w:ascii="Times New Roman" w:cs="Times New Roman" w:eastAsia="Times New Roman" w:hAnsi="Times New Roman"/>
          <w:sz w:val="22"/>
          <w:szCs w:val="22"/>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80" w:lineRule="exact"/>
        <w:rPr>
          <w:sz w:val="20"/>
          <w:szCs w:val="20"/>
          <w:color w:val="auto"/>
        </w:rPr>
      </w:pPr>
    </w:p>
    <w:p>
      <w:pPr>
        <w:jc w:val="both"/>
        <w:ind w:right="399" w:firstLine="2995"/>
        <w:spacing w:after="0" w:line="239" w:lineRule="auto"/>
        <w:rPr>
          <w:sz w:val="20"/>
          <w:szCs w:val="20"/>
          <w:color w:val="auto"/>
        </w:rPr>
      </w:pPr>
      <w:r>
        <w:rPr>
          <w:rFonts w:ascii="Times New Roman" w:cs="Times New Roman" w:eastAsia="Times New Roman" w:hAnsi="Times New Roman"/>
          <w:sz w:val="22"/>
          <w:szCs w:val="22"/>
          <w:color w:val="auto"/>
        </w:rPr>
        <w:t xml:space="preserve">(B)Each Defaulting Lender shall be entitled to receive fees in respect of Letters of Credit pursuant to </w:t>
      </w:r>
      <w:r>
        <w:rPr>
          <w:rFonts w:ascii="Times New Roman" w:cs="Times New Roman" w:eastAsia="Times New Roman" w:hAnsi="Times New Roman"/>
          <w:sz w:val="22"/>
          <w:szCs w:val="22"/>
          <w:u w:val="single" w:color="auto"/>
          <w:color w:val="auto"/>
        </w:rPr>
        <w:t>Section 3.05(b)</w:t>
      </w:r>
      <w:r>
        <w:rPr>
          <w:rFonts w:ascii="Times New Roman" w:cs="Times New Roman" w:eastAsia="Times New Roman" w:hAnsi="Times New Roman"/>
          <w:sz w:val="22"/>
          <w:szCs w:val="22"/>
          <w:color w:val="auto"/>
        </w:rPr>
        <w:t xml:space="preserve">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22"/>
          <w:szCs w:val="22"/>
          <w:u w:val="single" w:color="auto"/>
          <w:color w:val="auto"/>
        </w:rPr>
        <w:t>Section 2.07(j)</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right="399" w:firstLine="2995"/>
        <w:spacing w:after="0" w:line="235" w:lineRule="auto"/>
        <w:rPr>
          <w:sz w:val="20"/>
          <w:szCs w:val="20"/>
          <w:color w:val="auto"/>
        </w:rPr>
      </w:pPr>
      <w:r>
        <w:rPr>
          <w:rFonts w:ascii="Times New Roman" w:cs="Times New Roman" w:eastAsia="Times New Roman" w:hAnsi="Times New Roman"/>
          <w:sz w:val="22"/>
          <w:szCs w:val="22"/>
          <w:color w:val="auto"/>
        </w:rPr>
        <w:t xml:space="preserve">(C)With respect to any fee in respect of Letters of Credit not required to be paid to any Defaulting Lender pursuant to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the Borrower shall (x) pay to each Lender (other than any Defaulting Lender) that portion of any such fee otherwise payable to such Defaulting Lender with respect to such Defaulting Lender’s participation in Letters of Credit that has been reallocated to such other Lender pursuant to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below, (y) pay to the applicable Issuing Bank, the amount of any such fee otherwise payable to such Defaulting Lender to the extent allocable to the Issuing Bank’s Fronting Exposure to such Defaulting Lender, and (z) not be required to pay the remaining amount of any such fee.</w:t>
      </w:r>
    </w:p>
    <w:p>
      <w:pPr>
        <w:spacing w:after="0" w:line="178" w:lineRule="exact"/>
        <w:rPr>
          <w:sz w:val="20"/>
          <w:szCs w:val="20"/>
          <w:color w:val="auto"/>
        </w:rPr>
      </w:pPr>
    </w:p>
    <w:p>
      <w:pPr>
        <w:jc w:val="both"/>
        <w:ind w:right="399" w:firstLine="2249"/>
        <w:spacing w:after="0" w:line="234" w:lineRule="auto"/>
        <w:tabs>
          <w:tab w:leader="none" w:pos="262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of Participations to Reduce Fronting Exposure</w:t>
      </w:r>
      <w:r>
        <w:rPr>
          <w:rFonts w:ascii="Times New Roman" w:cs="Times New Roman" w:eastAsia="Times New Roman" w:hAnsi="Times New Roman"/>
          <w:sz w:val="22"/>
          <w:szCs w:val="22"/>
          <w:color w:val="auto"/>
        </w:rPr>
        <w:t xml:space="preserve">. All or any part of such Defaulting Lender’s participation in Letters of Credit shall be reallocated among the Lenders (other than any Defaulting Lender) in accordance with their respective Applicable Percentages (calculated without regard to such Defaulting Lender’s Commitment) but only to the extent that such reallocation does not cause the aggregate Revolving Credit Exposure of any Lender (other than any Defaulting Lender) to exceed such Lender’s Commitment. Subject to </w:t>
      </w:r>
      <w:r>
        <w:rPr>
          <w:rFonts w:ascii="Times New Roman" w:cs="Times New Roman" w:eastAsia="Times New Roman" w:hAnsi="Times New Roman"/>
          <w:sz w:val="22"/>
          <w:szCs w:val="22"/>
          <w:u w:val="single" w:color="auto"/>
          <w:color w:val="auto"/>
        </w:rPr>
        <w:t>Section 12.18</w:t>
      </w:r>
      <w:r>
        <w:rPr>
          <w:rFonts w:ascii="Times New Roman" w:cs="Times New Roman" w:eastAsia="Times New Roman" w:hAnsi="Times New Roman"/>
          <w:sz w:val="22"/>
          <w:szCs w:val="22"/>
          <w:color w:val="auto"/>
        </w:rPr>
        <w:t>, no reallocation hereunder shall constitute a waiver or release of any claim of any</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04" w:name="page105"/>
    <w:bookmarkEnd w:id="104"/>
    <w:p>
      <w:pPr>
        <w:jc w:val="both"/>
        <w:ind w:right="399"/>
        <w:spacing w:after="0" w:line="244" w:lineRule="auto"/>
        <w:rPr>
          <w:sz w:val="20"/>
          <w:szCs w:val="20"/>
          <w:color w:val="auto"/>
        </w:rPr>
      </w:pPr>
      <w:r>
        <w:rPr>
          <w:rFonts w:ascii="Times New Roman" w:cs="Times New Roman" w:eastAsia="Times New Roman" w:hAnsi="Times New Roman"/>
          <w:sz w:val="22"/>
          <w:szCs w:val="22"/>
          <w:color w:val="auto"/>
        </w:rPr>
        <w:t>party hereunder against a Defaulting Lender arising from that Lender having become a Defaulting Lender, including any claim of a non-Defaulting Lender as a result of such non-Defaulting Lender’s increased exposure following such reallocation.</w:t>
      </w:r>
    </w:p>
    <w:p>
      <w:pPr>
        <w:spacing w:after="0" w:line="173" w:lineRule="exact"/>
        <w:rPr>
          <w:sz w:val="20"/>
          <w:szCs w:val="20"/>
          <w:color w:val="auto"/>
        </w:rPr>
      </w:pPr>
    </w:p>
    <w:p>
      <w:pPr>
        <w:jc w:val="both"/>
        <w:ind w:right="399" w:firstLine="2249"/>
        <w:spacing w:after="0" w:line="239" w:lineRule="auto"/>
        <w:tabs>
          <w:tab w:leader="none" w:pos="262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xml:space="preserve">. If the reallocation described in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above cannot, or can only partially, be effected, the Borrower shall, without prejudice to any right or remedy available to it hereunder or under applicable law, Cash Collateralize the Issuing Bank’s Fronting Exposure in accordance with the procedures set forth in </w:t>
      </w:r>
      <w:r>
        <w:rPr>
          <w:rFonts w:ascii="Times New Roman" w:cs="Times New Roman" w:eastAsia="Times New Roman" w:hAnsi="Times New Roman"/>
          <w:sz w:val="22"/>
          <w:szCs w:val="22"/>
          <w:u w:val="single" w:color="auto"/>
          <w:color w:val="auto"/>
        </w:rPr>
        <w:t>Section 2.07(j)</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Defaulting Lender Cure</w:t>
      </w:r>
      <w:r>
        <w:rPr>
          <w:rFonts w:ascii="Times New Roman" w:cs="Times New Roman" w:eastAsia="Times New Roman" w:hAnsi="Times New Roman"/>
          <w:sz w:val="22"/>
          <w:szCs w:val="22"/>
          <w:color w:val="auto"/>
        </w:rPr>
        <w:t xml:space="preserve">. If the Borrower, the Administrative Agent and the applicable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by the Lenders in accordance with the Commitments (without giving effect to </w:t>
      </w:r>
      <w:r>
        <w:rPr>
          <w:rFonts w:ascii="Times New Roman" w:cs="Times New Roman" w:eastAsia="Times New Roman" w:hAnsi="Times New Roman"/>
          <w:sz w:val="22"/>
          <w:szCs w:val="22"/>
          <w:u w:val="single" w:color="auto"/>
          <w:color w:val="auto"/>
        </w:rPr>
        <w:t>Section 4.04(a)(iv)</w:t>
      </w:r>
      <w:r>
        <w:rPr>
          <w:rFonts w:ascii="Times New Roman" w:cs="Times New Roman" w:eastAsia="Times New Roman" w:hAnsi="Times New Roman"/>
          <w:sz w:val="22"/>
          <w:szCs w:val="22"/>
          <w:color w:val="auto"/>
        </w:rPr>
        <w:t xml:space="preserve">), whereupon such Lender will cease to be a Defaulting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2"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New Letters of Credit</w:t>
      </w:r>
      <w:r>
        <w:rPr>
          <w:rFonts w:ascii="Times New Roman" w:cs="Times New Roman" w:eastAsia="Times New Roman" w:hAnsi="Times New Roman"/>
          <w:sz w:val="22"/>
          <w:szCs w:val="22"/>
          <w:color w:val="auto"/>
        </w:rPr>
        <w:t>. So long as any Lender is a Defaulting Lender, the Issuing Bank shall not be required to issue, extend, renew or increase any Letter of Credit unless it is satisfied that it will have no Fronting Exposure after giving effect thereto.</w:t>
      </w:r>
    </w:p>
    <w:p>
      <w:pPr>
        <w:spacing w:after="0" w:line="16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Increased Costs; Break Funding Payments; Taxes; Illegality</w:t>
      </w:r>
    </w:p>
    <w:p>
      <w:pPr>
        <w:spacing w:after="0" w:line="182"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u w:val="single" w:color="auto"/>
          <w:color w:val="auto"/>
        </w:rPr>
        <w:t>Increased Costs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240" w:hanging="740"/>
        <w:spacing w:after="0"/>
        <w:tabs>
          <w:tab w:leader="none" w:pos="224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206" w:lineRule="exact"/>
        <w:rPr>
          <w:rFonts w:ascii="Times New Roman" w:cs="Times New Roman" w:eastAsia="Times New Roman" w:hAnsi="Times New Roman"/>
          <w:sz w:val="22"/>
          <w:szCs w:val="22"/>
          <w:color w:val="auto"/>
        </w:rPr>
      </w:pPr>
    </w:p>
    <w:p>
      <w:pPr>
        <w:jc w:val="both"/>
        <w:ind w:right="399" w:firstLine="2249"/>
        <w:spacing w:after="0" w:line="239" w:lineRule="auto"/>
        <w:tabs>
          <w:tab w:leader="none" w:pos="2621"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Term SOFR) or the Issuing Bank;</w:t>
      </w:r>
    </w:p>
    <w:p>
      <w:pPr>
        <w:spacing w:after="0" w:line="180" w:lineRule="exact"/>
        <w:rPr>
          <w:rFonts w:ascii="Times New Roman" w:cs="Times New Roman" w:eastAsia="Times New Roman" w:hAnsi="Times New Roman"/>
          <w:sz w:val="22"/>
          <w:szCs w:val="22"/>
          <w:color w:val="auto"/>
        </w:rPr>
      </w:pPr>
    </w:p>
    <w:p>
      <w:pPr>
        <w:ind w:left="2620" w:hanging="371"/>
        <w:spacing w:after="0"/>
        <w:tabs>
          <w:tab w:leader="none" w:pos="2620"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Recipient to any Taxes (other than (A) Indemnified Taxes, and</w:t>
      </w:r>
    </w:p>
    <w:p>
      <w:pPr>
        <w:spacing w:after="0" w:line="14" w:lineRule="exact"/>
        <w:rPr>
          <w:rFonts w:ascii="Times New Roman" w:cs="Times New Roman" w:eastAsia="Times New Roman" w:hAnsi="Times New Roman"/>
          <w:sz w:val="22"/>
          <w:szCs w:val="22"/>
          <w:color w:val="auto"/>
        </w:rPr>
      </w:pPr>
    </w:p>
    <w:p>
      <w:pPr>
        <w:jc w:val="both"/>
        <w:ind w:right="399" w:firstLine="2"/>
        <w:spacing w:after="0" w:line="235" w:lineRule="auto"/>
        <w:tabs>
          <w:tab w:leader="none" w:pos="38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Taxes described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the definition of Excluded Taxes) on its loans, loan principal, letters of credit, commitments, or other obligations, or its deposits, reserves, other liabilities or capital attribution thereto; or</w:t>
      </w:r>
    </w:p>
    <w:p>
      <w:pPr>
        <w:spacing w:after="0" w:line="177" w:lineRule="exact"/>
        <w:rPr>
          <w:rFonts w:ascii="Times New Roman" w:cs="Times New Roman" w:eastAsia="Times New Roman" w:hAnsi="Times New Roman"/>
          <w:sz w:val="22"/>
          <w:szCs w:val="22"/>
          <w:color w:val="auto"/>
        </w:rPr>
      </w:pPr>
    </w:p>
    <w:p>
      <w:pPr>
        <w:jc w:val="both"/>
        <w:ind w:right="399" w:firstLine="2249"/>
        <w:spacing w:after="0" w:line="238" w:lineRule="auto"/>
        <w:tabs>
          <w:tab w:leader="none" w:pos="2621"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the Issuing Bank or any applicable offshore interbank market any other condition, cost or expense (other than Taxes) affecting this Agreement or SOFR Loans made by such Lender or any Letter of Credit or participation therein;</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05" w:name="page106"/>
    <w:bookmarkEnd w:id="105"/>
    <w:p>
      <w:pPr>
        <w:jc w:val="both"/>
        <w:ind w:right="399"/>
        <w:spacing w:after="0" w:line="234"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or such other Recipient of making, converting to, continuing or maintaining any SOFR Loan (or of maintaining its obligation to make any such Loan), or to increase the cost to such Lender, the Issuing Bank or such other Recipient of participating in, issuing or maintaining any Letter of Credit (or of maintaining its obligation to participate in or to issue any Letter of Credit), or to reduce the amount of any sum received or receivable by such Lender, the Issuing Bank or other Recipient hereunder (whether of principal, interest or any other amount), then, upon request of such Lender, the Issuing Bank or other Recipient, the Borrower will pay to such Lender, the Issuing Bank or other Recipient, as the case may be, such additional amount or amounts as will compensate such Lender, the Issuing Bank or other Recipient, as the case may be, for such additional costs incurred or reduction suffered.</w:t>
      </w:r>
    </w:p>
    <w:p>
      <w:pPr>
        <w:spacing w:after="0" w:line="179"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Capital Adequacy or Liquidity Requirements</w:t>
      </w:r>
      <w:r>
        <w:rPr>
          <w:rFonts w:ascii="Times New Roman" w:cs="Times New Roman" w:eastAsia="Times New Roman" w:hAnsi="Times New Roman"/>
          <w:sz w:val="22"/>
          <w:szCs w:val="22"/>
          <w:color w:val="auto"/>
        </w:rPr>
        <w:t>. If any Lender or the Issuing Bank determines that any Change in Law regarding capital adequacy or liquidity requirements and affecting such Lender or the Issuing Bank or any lending office of such Lender or such Lender’s or the applicable Issuing Bank’s holding company, if any, has or would have the effect of reducing the rate of return on such Lender’s or the applicable Issuing Bank’s capital or on the capital of such Lender’s or the applicable Issuing Bank’s holding company, if any, as a consequence of this Agreement, the Commitments of such Lender or the Loans made by, or participations in Letters of Credit held by, such Lender, or the Letters of Credit issued by the Issuing Bank, to a level below that which such Lender or the Issuing Bank or such Lender’s or the applicable Issuing Bank’s holding company could have achieved but for such Change in Law (taking into consideration such Lender’s or the Issuing Bank’s policies and the policies of such Lender’s or the applicable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applicable Issuing Bank’s holding company for any such reduction suffered.</w:t>
      </w:r>
    </w:p>
    <w:p>
      <w:pPr>
        <w:spacing w:after="0" w:line="180"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Certificates for Reimbursement</w:t>
      </w:r>
      <w:r>
        <w:rPr>
          <w:rFonts w:ascii="Times New Roman" w:cs="Times New Roman" w:eastAsia="Times New Roman" w:hAnsi="Times New Roman"/>
          <w:sz w:val="22"/>
          <w:szCs w:val="22"/>
          <w:color w:val="auto"/>
        </w:rPr>
        <w:t xml:space="preserve">. A certificate of a Lender or the Issuing Bank setting forth the amount or amounts necessary to compensate such Lender or the Issuing Bank or its holding company, as the case may be, as specified in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delivered to the Borrower shall be conclusive absent manifest error. The Borrower shall pay such Lender or the Issuing Bank, as the case may be, the amount shown as due on any such certificate within fifteen (15) days after receipt thereof.</w:t>
      </w:r>
    </w:p>
    <w:p>
      <w:pPr>
        <w:spacing w:after="0" w:line="177"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Effect of Failure or Delay in Requesting Compensation</w:t>
      </w:r>
      <w:r>
        <w:rPr>
          <w:rFonts w:ascii="Times New Roman" w:cs="Times New Roman" w:eastAsia="Times New Roman" w:hAnsi="Times New Roman"/>
          <w:sz w:val="22"/>
          <w:szCs w:val="22"/>
          <w:color w:val="auto"/>
        </w:rPr>
        <w:t xml:space="preserve">. Failure or delay on the part of any Lender or the Issuing Bank to demand compensation pursuant to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shall not constitute a waiver of such Lender’s or the applicable Issuing Bank’s right to demand such compensation;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not be required to compensate a Lender or the Issuing Bank pursuant to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for any increased costs incurred or reductions suffered more than 270 days prior to the date that such Lender or the Issuing Bank, as the case may be, notifies the Borrower of the Change in Law giving rise to such increased costs or reductions and of such Lender’s or the applicable Issuing Bank’s intention to claim compensation therefor;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06" w:name="page107"/>
    <w:bookmarkEnd w:id="106"/>
    <w:p>
      <w:pPr>
        <w:jc w:val="both"/>
        <w:ind w:right="399" w:firstLine="747"/>
        <w:spacing w:after="0" w:line="232"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Break Funding Payments</w:t>
      </w:r>
      <w:r>
        <w:rPr>
          <w:rFonts w:ascii="Times New Roman" w:cs="Times New Roman" w:eastAsia="Times New Roman" w:hAnsi="Times New Roman"/>
          <w:sz w:val="22"/>
          <w:szCs w:val="22"/>
          <w:color w:val="auto"/>
        </w:rPr>
        <w:t xml:space="preserve">. In the event of (a) the payment of any principal of any SOFR Loan other than on the last day of an Interest Period applicable thereto (including as a result of an Event of Default), (b) the conversion of any SOFR Loan into an ABR Loan other than on the last day of the Interest Period applicable thereto, (c) the failure to borrow, convert, or continue any SOFR Loan on the date specified in any notice delivered pursuant hereto, or (d) the assignment of any SOFR Loan other than on the last day of the Interest Period applicable thereto as a result of a request by the Borrower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5.04(a)</w:t>
      </w:r>
      <w:r>
        <w:rPr>
          <w:rFonts w:ascii="Times New Roman" w:cs="Times New Roman" w:eastAsia="Times New Roman" w:hAnsi="Times New Roman"/>
          <w:sz w:val="22"/>
          <w:szCs w:val="22"/>
          <w:color w:val="auto"/>
        </w:rPr>
        <w:t>, then, in any such event, the Borrower shall compensate each affected Lender for the loss, cost and expense attributable to such event. In the case of a SOFR Loan, such loss, cost or expense to any Lender shall be deemed to include an amount equal to the excess, if any, of (i) the amount of interest which would have accrued on the principal amount of such Loan had such event not occurred, at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dollar deposits of a comparable amount and period from other banks in the SOFR market.</w:t>
      </w:r>
    </w:p>
    <w:p>
      <w:pPr>
        <w:spacing w:after="0" w:line="191" w:lineRule="exact"/>
        <w:rPr>
          <w:sz w:val="20"/>
          <w:szCs w:val="20"/>
          <w:color w:val="auto"/>
        </w:rPr>
      </w:pPr>
    </w:p>
    <w:p>
      <w:pPr>
        <w:jc w:val="both"/>
        <w:ind w:right="399"/>
        <w:spacing w:after="0" w:line="238" w:lineRule="auto"/>
        <w:rPr>
          <w:sz w:val="20"/>
          <w:szCs w:val="20"/>
          <w:color w:val="auto"/>
        </w:rPr>
      </w:pPr>
      <w:r>
        <w:rPr>
          <w:rFonts w:ascii="Times New Roman" w:cs="Times New Roman" w:eastAsia="Times New Roman" w:hAnsi="Times New Roman"/>
          <w:sz w:val="22"/>
          <w:szCs w:val="22"/>
          <w:color w:val="auto"/>
        </w:rPr>
        <w:t xml:space="preserve">A certificate of any Lender setting forth any amount or amounts that such Lender is entitled to receive pursuant to this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shall be delivered to the Borrower and shall be conclusive absent manifest error. The Borrower shall pay such Lender the amount shown as due on any such certificate within fifteen</w:t>
      </w:r>
    </w:p>
    <w:p>
      <w:pPr>
        <w:jc w:val="right"/>
        <w:ind w:left="760" w:right="7139" w:hanging="758"/>
        <w:spacing w:after="0" w:line="444" w:lineRule="auto"/>
        <w:tabs>
          <w:tab w:leader="none" w:pos="42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after receipt thereof. Section 5.03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Payments Free of Taxes</w:t>
      </w:r>
      <w:r>
        <w:rPr>
          <w:rFonts w:ascii="Times New Roman" w:cs="Times New Roman" w:eastAsia="Times New Roman" w:hAnsi="Times New Roman"/>
          <w:sz w:val="22"/>
          <w:szCs w:val="22"/>
          <w:color w:val="auto"/>
        </w:rPr>
        <w:t xml:space="preserve">. Any and all payments by or on account of any obligation of the Borrower or any Guarantor under any Loan Document shall be made free and clear of and without reduction or withholding for Taxes, except as required by applicable law. If any applicable law (as determined in the good faith discretion of an applicable Withholding Agent) requires the deduction or withholding of any Tax from any such payment by a Withholding Agent, then (i) if such Tax is an Indemnified Tax, the sum payable shall be increased as necessary so that after making all required deductions or withholdings (including deductions or withholdings applicable to additional sums payable under this </w:t>
      </w:r>
      <w:r>
        <w:rPr>
          <w:rFonts w:ascii="Times New Roman" w:cs="Times New Roman" w:eastAsia="Times New Roman" w:hAnsi="Times New Roman"/>
          <w:sz w:val="22"/>
          <w:szCs w:val="22"/>
          <w:u w:val="single" w:color="auto"/>
          <w:color w:val="auto"/>
        </w:rPr>
        <w:t>Section 5.03(a)</w:t>
      </w:r>
      <w:r>
        <w:rPr>
          <w:rFonts w:ascii="Times New Roman" w:cs="Times New Roman" w:eastAsia="Times New Roman" w:hAnsi="Times New Roman"/>
          <w:sz w:val="22"/>
          <w:szCs w:val="22"/>
          <w:color w:val="auto"/>
        </w:rPr>
        <w:t>), the Administrative Agent, Lender or Issuing Bank, as the case may be, receives an amount equal to the sum it would have received had no such deductions been made, (ii) the applicable Withholding Agent shall be entitled to make such deductions and (iii) the applicable Withholding Agent shall timely pay the full amount deducted to the relevant Governmental Authority in accordance with applicable law.</w:t>
      </w:r>
    </w:p>
    <w:p>
      <w:pPr>
        <w:spacing w:after="0" w:line="185"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Payment of Other Taxes by the Borrower</w:t>
      </w:r>
      <w:r>
        <w:rPr>
          <w:rFonts w:ascii="Times New Roman" w:cs="Times New Roman" w:eastAsia="Times New Roman" w:hAnsi="Times New Roman"/>
          <w:sz w:val="22"/>
          <w:szCs w:val="22"/>
          <w:color w:val="auto"/>
        </w:rPr>
        <w:t xml:space="preserve">. Without limiting the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5.03(a)</w:t>
      </w:r>
      <w:r>
        <w:rPr>
          <w:rFonts w:ascii="Times New Roman" w:cs="Times New Roman" w:eastAsia="Times New Roman" w:hAnsi="Times New Roman"/>
          <w:sz w:val="22"/>
          <w:szCs w:val="22"/>
          <w:color w:val="auto"/>
        </w:rPr>
        <w:t>, the Borrower shall timely pay to the relevant Governmental Authority in accordance with applicable law, or at the option of the Administrative Agent timely reimburse it for the payment of, Other Taxes.</w:t>
      </w:r>
    </w:p>
    <w:p>
      <w:pPr>
        <w:spacing w:after="0" w:line="180" w:lineRule="exact"/>
        <w:rPr>
          <w:sz w:val="20"/>
          <w:szCs w:val="20"/>
          <w:color w:val="auto"/>
        </w:rPr>
      </w:pPr>
    </w:p>
    <w:p>
      <w:pPr>
        <w:jc w:val="both"/>
        <w:ind w:right="379" w:firstLine="1497"/>
        <w:spacing w:after="0" w:line="236"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Indemnification by the Borrower</w:t>
      </w:r>
      <w:r>
        <w:rPr>
          <w:rFonts w:ascii="Times New Roman" w:cs="Times New Roman" w:eastAsia="Times New Roman" w:hAnsi="Times New Roman"/>
          <w:sz w:val="22"/>
          <w:szCs w:val="22"/>
          <w:color w:val="auto"/>
        </w:rPr>
        <w:t xml:space="preserve">. The Loan Parties shall jointly and severally indemnify the Administrative Agent, each Lender and the Issuing Bank,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payable</w:t>
      </w:r>
    </w:p>
    <w:p>
      <w:pPr>
        <w:spacing w:after="0" w:line="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07" w:name="page108"/>
    <w:bookmarkEnd w:id="107"/>
    <w:p>
      <w:pPr>
        <w:jc w:val="both"/>
        <w:ind w:right="399"/>
        <w:spacing w:after="0" w:line="235" w:lineRule="auto"/>
        <w:rPr>
          <w:sz w:val="20"/>
          <w:szCs w:val="20"/>
          <w:color w:val="auto"/>
        </w:rPr>
      </w:pPr>
      <w:r>
        <w:rPr>
          <w:rFonts w:ascii="Times New Roman" w:cs="Times New Roman" w:eastAsia="Times New Roman" w:hAnsi="Times New Roman"/>
          <w:sz w:val="22"/>
          <w:szCs w:val="22"/>
          <w:color w:val="auto"/>
        </w:rPr>
        <w:t xml:space="preserve">or paid by the Administrative Agent, such Lender or the Issuing Bank, as the case may be,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under this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delivered to the Borrower by a Lender or the Issuing Bank (with a copy to the Administrative Agent), or by the Administrative Agent on its own behalf or on behalf of a Lender or the Issuing Bank, shall be conclusive absent manifest error.</w:t>
      </w:r>
    </w:p>
    <w:p>
      <w:pPr>
        <w:spacing w:after="0" w:line="183"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As soon as practicable after any payment of Taxes by the Borrower or a Guarantor to a Governmental Authority pursuant to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7"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Indemnification by the Lenders</w:t>
      </w:r>
      <w:r>
        <w:rPr>
          <w:rFonts w:ascii="Times New Roman" w:cs="Times New Roman" w:eastAsia="Times New Roman" w:hAnsi="Times New Roman"/>
          <w:sz w:val="22"/>
          <w:szCs w:val="22"/>
          <w:color w:val="auto"/>
        </w:rPr>
        <w:t xml:space="preserve">. 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22"/>
          <w:szCs w:val="22"/>
          <w:u w:val="single" w:color="auto"/>
          <w:color w:val="auto"/>
        </w:rPr>
        <w:t>Section 12.04(d)(iii)</w:t>
      </w:r>
      <w:r>
        <w:rPr>
          <w:rFonts w:ascii="Times New Roman" w:cs="Times New Roman" w:eastAsia="Times New Roman" w:hAnsi="Times New Roman"/>
          <w:sz w:val="22"/>
          <w:szCs w:val="22"/>
          <w:color w:val="auto"/>
        </w:rPr>
        <w:t xml:space="preserve"> relating to the maintenance of a Participant Register and</w:t>
      </w:r>
    </w:p>
    <w:p>
      <w:pPr>
        <w:spacing w:after="0" w:line="2" w:lineRule="exact"/>
        <w:rPr>
          <w:sz w:val="20"/>
          <w:szCs w:val="20"/>
          <w:color w:val="auto"/>
        </w:rPr>
      </w:pPr>
    </w:p>
    <w:p>
      <w:pPr>
        <w:jc w:val="both"/>
        <w:ind w:right="399" w:firstLine="2"/>
        <w:spacing w:after="0" w:line="243" w:lineRule="auto"/>
        <w:tabs>
          <w:tab w:leader="none" w:pos="436"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1"/>
          <w:szCs w:val="21"/>
          <w:u w:val="single" w:color="auto"/>
          <w:color w:val="auto"/>
        </w:rPr>
        <w:t>paragraph (e)</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21"/>
          <w:szCs w:val="21"/>
          <w:color w:val="auto"/>
        </w:rPr>
      </w:pPr>
    </w:p>
    <w:p>
      <w:pPr>
        <w:ind w:left="2240" w:hanging="740"/>
        <w:spacing w:after="0"/>
        <w:tabs>
          <w:tab w:leader="none" w:pos="224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399" w:firstLine="2249"/>
        <w:spacing w:after="0" w:line="243" w:lineRule="auto"/>
        <w:tabs>
          <w:tab w:leader="none" w:pos="2621" w:val="left"/>
        </w:tabs>
        <w:numPr>
          <w:ilvl w:val="2"/>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Governmental Requirements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5.03(f)(ii)(A)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5.03(f)(ii)(B)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5.03(g)</w:t>
      </w:r>
      <w:r>
        <w:rPr>
          <w:rFonts w:ascii="Times New Roman" w:cs="Times New Roman" w:eastAsia="Times New Roman" w:hAnsi="Times New Roman"/>
          <w:sz w:val="21"/>
          <w:szCs w:val="21"/>
          <w:color w:val="auto"/>
        </w:rPr>
        <w:t xml:space="preserve"> below) shall not be</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08" w:name="page109"/>
    <w:bookmarkEnd w:id="108"/>
    <w:p>
      <w:pPr>
        <w:jc w:val="both"/>
        <w:ind w:right="399"/>
        <w:spacing w:after="0" w:line="239" w:lineRule="auto"/>
        <w:rPr>
          <w:sz w:val="20"/>
          <w:szCs w:val="20"/>
          <w:color w:val="auto"/>
        </w:rPr>
      </w:pPr>
      <w:r>
        <w:rPr>
          <w:rFonts w:ascii="Times New Roman" w:cs="Times New Roman" w:eastAsia="Times New Roman" w:hAnsi="Times New Roman"/>
          <w:sz w:val="22"/>
          <w:szCs w:val="22"/>
          <w:color w:val="auto"/>
        </w:rPr>
        <w:t>required if in the Lender’s reasonable judgment such completion, execution or submission would subject such Lender to any material unreimbursed cost or expense or would materially prejudice the legal or commercial position of such Lender. For purposes of this Section 5.03(f), the term “Lender” shall include any Issuing Bank.</w:t>
      </w:r>
    </w:p>
    <w:p>
      <w:pPr>
        <w:spacing w:after="0" w:line="180" w:lineRule="exact"/>
        <w:rPr>
          <w:sz w:val="20"/>
          <w:szCs w:val="20"/>
          <w:color w:val="auto"/>
        </w:rPr>
      </w:pPr>
    </w:p>
    <w:p>
      <w:pPr>
        <w:ind w:left="3000" w:hanging="751"/>
        <w:spacing w:after="0"/>
        <w:tabs>
          <w:tab w:leader="none" w:pos="30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06" w:lineRule="exact"/>
        <w:rPr>
          <w:sz w:val="20"/>
          <w:szCs w:val="20"/>
          <w:color w:val="auto"/>
        </w:rPr>
      </w:pPr>
    </w:p>
    <w:p>
      <w:pPr>
        <w:jc w:val="both"/>
        <w:ind w:right="399" w:firstLine="2995"/>
        <w:spacing w:after="0" w:line="238" w:lineRule="auto"/>
        <w:rPr>
          <w:sz w:val="20"/>
          <w:szCs w:val="20"/>
          <w:color w:val="auto"/>
        </w:rPr>
      </w:pPr>
      <w:r>
        <w:rPr>
          <w:rFonts w:ascii="Times New Roman" w:cs="Times New Roman" w:eastAsia="Times New Roman" w:hAnsi="Times New Roman"/>
          <w:sz w:val="22"/>
          <w:szCs w:val="22"/>
          <w:color w:val="auto"/>
        </w:rPr>
        <w:t>(A)any Lender that is a “United States person” as defined in section 7701(a)(30) of the Code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United States federal backup withholding tax;</w:t>
      </w:r>
    </w:p>
    <w:p>
      <w:pPr>
        <w:spacing w:after="0" w:line="177" w:lineRule="exact"/>
        <w:rPr>
          <w:sz w:val="20"/>
          <w:szCs w:val="20"/>
          <w:color w:val="auto"/>
        </w:rPr>
      </w:pPr>
    </w:p>
    <w:p>
      <w:pPr>
        <w:jc w:val="both"/>
        <w:ind w:right="399" w:firstLine="2995"/>
        <w:spacing w:after="0" w:line="238" w:lineRule="auto"/>
        <w:rPr>
          <w:sz w:val="20"/>
          <w:szCs w:val="20"/>
          <w:color w:val="auto"/>
        </w:rPr>
      </w:pPr>
      <w:r>
        <w:rPr>
          <w:rFonts w:ascii="Times New Roman" w:cs="Times New Roman" w:eastAsia="Times New Roman" w:hAnsi="Times New Roman"/>
          <w:sz w:val="22"/>
          <w:szCs w:val="22"/>
          <w:color w:val="auto"/>
        </w:rPr>
        <w:t>(B)any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7" w:lineRule="exact"/>
        <w:rPr>
          <w:sz w:val="20"/>
          <w:szCs w:val="20"/>
          <w:color w:val="auto"/>
        </w:rPr>
      </w:pPr>
    </w:p>
    <w:p>
      <w:pPr>
        <w:jc w:val="both"/>
        <w:ind w:left="2240" w:right="399" w:firstLine="1506"/>
        <w:spacing w:after="0" w:line="234" w:lineRule="auto"/>
        <w:tabs>
          <w:tab w:leader="none" w:pos="412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executed copies of IRS Form W-8BEN-E or IRS Form W-8BEN, as applicable, establishing an exemption from, or reduction of, United States federal withholding Tax pursuant to the “interest” article of such tax treaty and (y) with respect to any other applicable payments under any Loan Document, IRS Form W-8BEN-E or IRS Form W-8BEN, as applicable, establishing an exemption from, or reduction of, United States federal withholding tax pursuant to the “business profits” or “other income” article of such tax treaty;</w:t>
      </w:r>
    </w:p>
    <w:p>
      <w:pPr>
        <w:spacing w:after="0" w:line="179" w:lineRule="exact"/>
        <w:rPr>
          <w:rFonts w:ascii="Times New Roman" w:cs="Times New Roman" w:eastAsia="Times New Roman" w:hAnsi="Times New Roman"/>
          <w:sz w:val="22"/>
          <w:szCs w:val="22"/>
          <w:color w:val="auto"/>
        </w:rPr>
      </w:pPr>
    </w:p>
    <w:p>
      <w:pPr>
        <w:ind w:left="4500" w:hanging="754"/>
        <w:spacing w:after="0"/>
        <w:tabs>
          <w:tab w:leader="none" w:pos="450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W-8ECI;</w:t>
      </w:r>
    </w:p>
    <w:p>
      <w:pPr>
        <w:spacing w:after="0" w:line="206" w:lineRule="exact"/>
        <w:rPr>
          <w:rFonts w:ascii="Times New Roman" w:cs="Times New Roman" w:eastAsia="Times New Roman" w:hAnsi="Times New Roman"/>
          <w:sz w:val="22"/>
          <w:szCs w:val="22"/>
          <w:color w:val="auto"/>
        </w:rPr>
      </w:pPr>
    </w:p>
    <w:p>
      <w:pPr>
        <w:ind w:left="2240" w:right="399" w:firstLine="1506"/>
        <w:spacing w:after="0" w:line="241" w:lineRule="auto"/>
        <w:tabs>
          <w:tab w:leader="none" w:pos="412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w:t>
      </w:r>
    </w:p>
    <w:p>
      <w:pPr>
        <w:spacing w:after="0" w:line="1" w:lineRule="exact"/>
        <w:rPr>
          <w:rFonts w:ascii="Times New Roman" w:cs="Times New Roman" w:eastAsia="Times New Roman" w:hAnsi="Times New Roman"/>
          <w:sz w:val="22"/>
          <w:szCs w:val="22"/>
          <w:color w:val="auto"/>
        </w:rPr>
      </w:pPr>
    </w:p>
    <w:p>
      <w:pPr>
        <w:jc w:val="both"/>
        <w:ind w:left="2240" w:right="399" w:firstLine="9"/>
        <w:spacing w:after="0" w:line="230" w:lineRule="auto"/>
        <w:tabs>
          <w:tab w:leader="none" w:pos="257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substantially in the form of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 xml:space="preserve"> to the effect that such Foreign Lender is not a “bank” within the meaning of section 881(c)(3)(A) of the Code, a “10-percent shareholder” of the Borrower within the meaning of section 881(c)(3)(B) of the Code, or a “controlled foreign corporation” related to the Borrower as described in section 881(c)(3)(C) of the Code (a “</w:t>
      </w:r>
      <w:r>
        <w:rPr>
          <w:rFonts w:ascii="Times New Roman" w:cs="Times New Roman" w:eastAsia="Times New Roman" w:hAnsi="Times New Roman"/>
          <w:sz w:val="22"/>
          <w:szCs w:val="22"/>
          <w:u w:val="single" w:color="auto"/>
          <w:color w:val="auto"/>
        </w:rPr>
        <w:t>U.S.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and</w:t>
      </w:r>
    </w:p>
    <w:p>
      <w:pPr>
        <w:spacing w:after="0" w:line="3" w:lineRule="exact"/>
        <w:rPr>
          <w:rFonts w:ascii="Times New Roman" w:cs="Times New Roman" w:eastAsia="Times New Roman" w:hAnsi="Times New Roman"/>
          <w:sz w:val="22"/>
          <w:szCs w:val="22"/>
          <w:color w:val="auto"/>
        </w:rPr>
      </w:pPr>
    </w:p>
    <w:p>
      <w:pPr>
        <w:ind w:left="2240" w:right="399" w:firstLine="9"/>
        <w:spacing w:after="0" w:line="237" w:lineRule="auto"/>
        <w:tabs>
          <w:tab w:leader="none" w:pos="262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W-8BEN-E or IRS Form W-8BEN, as applicable; or</w:t>
      </w:r>
    </w:p>
    <w:p>
      <w:pPr>
        <w:spacing w:after="0" w:line="178" w:lineRule="exact"/>
        <w:rPr>
          <w:rFonts w:ascii="Times New Roman" w:cs="Times New Roman" w:eastAsia="Times New Roman" w:hAnsi="Times New Roman"/>
          <w:sz w:val="22"/>
          <w:szCs w:val="22"/>
          <w:color w:val="auto"/>
        </w:rPr>
      </w:pPr>
    </w:p>
    <w:p>
      <w:pPr>
        <w:jc w:val="both"/>
        <w:ind w:left="2240" w:right="399" w:firstLine="1506"/>
        <w:spacing w:after="0" w:line="238" w:lineRule="auto"/>
        <w:tabs>
          <w:tab w:leader="none" w:pos="4121"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Foreign Lender is not the beneficial owner, executed copies of IRS Form W-8IMY, accompanied by IRS Form W-8ECI, IRS Form W-8BEN-E, IRS Form W-8BEN, a U.S. Tax</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09" w:name="page110"/>
    <w:bookmarkEnd w:id="109"/>
    <w:p>
      <w:pPr>
        <w:jc w:val="both"/>
        <w:ind w:left="2240" w:right="399"/>
        <w:spacing w:after="0" w:line="235" w:lineRule="auto"/>
        <w:rPr>
          <w:sz w:val="20"/>
          <w:szCs w:val="20"/>
          <w:color w:val="auto"/>
        </w:rPr>
      </w:pPr>
      <w:r>
        <w:rPr>
          <w:rFonts w:ascii="Times New Roman" w:cs="Times New Roman" w:eastAsia="Times New Roman" w:hAnsi="Times New Roman"/>
          <w:sz w:val="22"/>
          <w:szCs w:val="22"/>
          <w:color w:val="auto"/>
        </w:rPr>
        <w:t xml:space="preserve">Compliance Certificate substantially in the form of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 xml:space="preserve">, IRS Form W-9, and/or other certification documents from each beneficial owner,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2"/>
          <w:szCs w:val="22"/>
          <w:u w:val="single" w:color="auto"/>
          <w:color w:val="auto"/>
        </w:rPr>
        <w:t>Exhibit E-4</w:t>
      </w:r>
      <w:r>
        <w:rPr>
          <w:rFonts w:ascii="Times New Roman" w:cs="Times New Roman" w:eastAsia="Times New Roman" w:hAnsi="Times New Roman"/>
          <w:sz w:val="22"/>
          <w:szCs w:val="22"/>
          <w:color w:val="auto"/>
        </w:rPr>
        <w:t xml:space="preserve"> on behalf of each such direct and indirect partner; and</w:t>
      </w:r>
    </w:p>
    <w:p>
      <w:pPr>
        <w:spacing w:after="0" w:line="183" w:lineRule="exact"/>
        <w:rPr>
          <w:sz w:val="20"/>
          <w:szCs w:val="20"/>
          <w:color w:val="auto"/>
        </w:rPr>
      </w:pPr>
    </w:p>
    <w:p>
      <w:pPr>
        <w:jc w:val="both"/>
        <w:ind w:right="399" w:firstLine="2249"/>
        <w:spacing w:after="0" w:line="247" w:lineRule="auto"/>
        <w:tabs>
          <w:tab w:leader="none" w:pos="2621"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Governmental Requirements as a basis for claiming exemption from or a reduction in United States federal withholding tax, duly completed, together with such supplementary documentation as may be prescribed by Governmental Requirements to permit the Borrower or the Administrative Agent to determine the withholding or deduction required to be made.</w:t>
      </w:r>
    </w:p>
    <w:p>
      <w:pPr>
        <w:spacing w:after="0" w:line="172" w:lineRule="exact"/>
        <w:rPr>
          <w:sz w:val="20"/>
          <w:szCs w:val="20"/>
          <w:color w:val="auto"/>
        </w:rPr>
      </w:pPr>
    </w:p>
    <w:p>
      <w:pPr>
        <w:jc w:val="both"/>
        <w:ind w:right="399"/>
        <w:spacing w:after="0" w:line="244" w:lineRule="auto"/>
        <w:rPr>
          <w:sz w:val="20"/>
          <w:szCs w:val="20"/>
          <w:color w:val="auto"/>
        </w:rPr>
      </w:pPr>
      <w:r>
        <w:rPr>
          <w:rFonts w:ascii="Times New Roman" w:cs="Times New Roman" w:eastAsia="Times New Roman" w:hAnsi="Times New Roman"/>
          <w:sz w:val="22"/>
          <w:szCs w:val="22"/>
          <w:color w:val="auto"/>
        </w:rPr>
        <w:t xml:space="preserve">Each Lender agrees that if any form or certification it previously delivered under this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73"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xml:space="preserve">. If a payment made to a Lender under any Loan Document would be subject to United States federal withholding tax imposed by FATCA if such Lender fails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Governmental Requirements (including as prescribed by section 1471(b)(3)(C)(i) of the Code) and such additional documentation reasonably requested by the Borrower or the Administrative Agent as may be necessary for the Borrower or the Administrative Agent to comply with their obligations under FATCA,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2"/>
          <w:szCs w:val="22"/>
          <w:u w:val="single" w:color="auto"/>
          <w:color w:val="auto"/>
        </w:rPr>
        <w:t>Section 5.03(g)</w:t>
      </w:r>
      <w:r>
        <w:rPr>
          <w:rFonts w:ascii="Times New Roman" w:cs="Times New Roman" w:eastAsia="Times New Roman" w:hAnsi="Times New Roman"/>
          <w:sz w:val="22"/>
          <w:szCs w:val="22"/>
          <w:color w:val="auto"/>
        </w:rPr>
        <w:t>, “FATCA” shall include any amendments made to FATCA after the date of this Agreement.</w:t>
      </w:r>
    </w:p>
    <w:p>
      <w:pPr>
        <w:spacing w:after="0" w:line="185"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22"/>
          <w:szCs w:val="22"/>
          <w:u w:val="single" w:color="auto"/>
          <w:color w:val="auto"/>
        </w:rPr>
        <w:t>Administrative Agent Tax Status</w:t>
      </w:r>
      <w:r>
        <w:rPr>
          <w:rFonts w:ascii="Times New Roman" w:cs="Times New Roman" w:eastAsia="Times New Roman" w:hAnsi="Times New Roman"/>
          <w:sz w:val="22"/>
          <w:szCs w:val="22"/>
          <w:color w:val="auto"/>
        </w:rPr>
        <w:t xml:space="preserve">. On or before the date on which the Administrative Agent (and any successor or replacement Administrative Agent) becomes Administrative Agent under this Agreement, such Administrative Agent shall deliver to Borrower two copies of either (a) Internal Revenue Service Form W-9 certifying that such Administrative Agent is exempt from U.S. federal backup withholding or (b) with respect to amounts received on its own account, Internal Revenue Service Form W-8ECI and with respect to amounts received on account of any Lender, Internal Revenue Service Form W-8IMY. Administrative Agent agrees that if any form it previously delivered pursuant to this </w:t>
      </w:r>
      <w:r>
        <w:rPr>
          <w:rFonts w:ascii="Times New Roman" w:cs="Times New Roman" w:eastAsia="Times New Roman" w:hAnsi="Times New Roman"/>
          <w:sz w:val="22"/>
          <w:szCs w:val="22"/>
          <w:u w:val="single" w:color="auto"/>
          <w:color w:val="auto"/>
        </w:rPr>
        <w:t>Section 5.03(h)</w:t>
      </w:r>
      <w:r>
        <w:rPr>
          <w:rFonts w:ascii="Times New Roman" w:cs="Times New Roman" w:eastAsia="Times New Roman" w:hAnsi="Times New Roman"/>
          <w:sz w:val="22"/>
          <w:szCs w:val="22"/>
          <w:color w:val="auto"/>
        </w:rPr>
        <w:t xml:space="preserve"> expires or becomes obsolete or inaccurate in any respect, it shall update such form or promptly notify Borrower in writing of its legal inability to do so.</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10" w:name="page111"/>
    <w:bookmarkEnd w:id="110"/>
    <w:p>
      <w:pPr>
        <w:jc w:val="both"/>
        <w:ind w:right="399" w:firstLine="1498"/>
        <w:spacing w:after="0" w:line="232"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If the Administrative Agent, a Lender or the Issuing Bank determines, in its sole discretion, that it has received a refund of any Indemnified Taxes or Other Taxes as to which it has been indemnified by the Borrower or with respect to which the Borrower has paid additional amounts pursuant to this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it shall pay to the Borrower an amount equal to such refund (but only to the extent of indemnity payments made, or additional amounts paid, by the Borrower under this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with respect to the Indemnified Taxes or Other Taxes giving rise to such refund), net of all out-of-pocket expenses (including Taxes) of the Administrative Agent, such Lender or the Issuing Bank, as the case may be, and without interest (other than any interest paid by the relevant Governmental Authority with respect to such refund);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upon the request of the Administrative Agent, such Lender or the Issuing Bank, agrees to repay the amount paid over to the Borrower (plus any penalties, interest or other charges imposed by the relevant Governmental Authority) to the Administrative Agent, such Lender or the Issuing Bank in the event the Administrative Agent, such Lender or the Issuing Bank is required to repay such refund to such Governmental Authority. Notwithstanding anything to the contrary in this </w:t>
      </w:r>
      <w:r>
        <w:rPr>
          <w:rFonts w:ascii="Times New Roman" w:cs="Times New Roman" w:eastAsia="Times New Roman" w:hAnsi="Times New Roman"/>
          <w:sz w:val="22"/>
          <w:szCs w:val="22"/>
          <w:u w:val="single" w:color="auto"/>
          <w:color w:val="auto"/>
        </w:rPr>
        <w:t>paragraph (i)</w:t>
      </w:r>
      <w:r>
        <w:rPr>
          <w:rFonts w:ascii="Times New Roman" w:cs="Times New Roman" w:eastAsia="Times New Roman" w:hAnsi="Times New Roman"/>
          <w:sz w:val="22"/>
          <w:szCs w:val="22"/>
          <w:color w:val="auto"/>
        </w:rPr>
        <w:t xml:space="preserve">, in no event will the indemnified party be required to pay any amount to an indemnifying party pursuant to this </w:t>
      </w:r>
      <w:r>
        <w:rPr>
          <w:rFonts w:ascii="Times New Roman" w:cs="Times New Roman" w:eastAsia="Times New Roman" w:hAnsi="Times New Roman"/>
          <w:sz w:val="22"/>
          <w:szCs w:val="22"/>
          <w:u w:val="single" w:color="auto"/>
          <w:color w:val="auto"/>
        </w:rPr>
        <w:t>paragraph (i)</w:t>
      </w:r>
      <w:r>
        <w:rPr>
          <w:rFonts w:ascii="Times New Roman" w:cs="Times New Roman" w:eastAsia="Times New Roman" w:hAnsi="Times New Roman"/>
          <w:sz w:val="22"/>
          <w:szCs w:val="22"/>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2"/>
          <w:szCs w:val="22"/>
          <w:u w:val="single" w:color="auto"/>
          <w:color w:val="auto"/>
        </w:rPr>
        <w:t>Section 5.03(i)</w:t>
      </w:r>
      <w:r>
        <w:rPr>
          <w:rFonts w:ascii="Times New Roman" w:cs="Times New Roman" w:eastAsia="Times New Roman" w:hAnsi="Times New Roman"/>
          <w:sz w:val="22"/>
          <w:szCs w:val="22"/>
          <w:color w:val="auto"/>
        </w:rPr>
        <w:t xml:space="preserve"> shall not be construed to require the Administrative Agent, any Lender or the Issuing Bank to make available its tax returns (or any other information relating to its taxes that it deems confidential) to the Borrower or any other Person.</w:t>
      </w:r>
    </w:p>
    <w:p>
      <w:pPr>
        <w:spacing w:after="0" w:line="184"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 xml:space="preserve">(j)The agreements in this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shall survive the resignation or replacement of the Administrative Agent or any assignment of rights by, or the replacement of, a Lender or the Issuing Bank, the termination of the Commitments or this Agreement, and the payment, satisfaction or discharge of the Loans and all other amounts payable hereunder or under any other Loan Document.</w:t>
      </w:r>
    </w:p>
    <w:p>
      <w:pPr>
        <w:spacing w:after="0" w:line="180"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5.04</w:t>
      </w:r>
      <w:r>
        <w:rPr>
          <w:sz w:val="20"/>
          <w:szCs w:val="20"/>
          <w:color w:val="auto"/>
        </w:rPr>
        <w:tab/>
      </w:r>
      <w:r>
        <w:rPr>
          <w:rFonts w:ascii="Times New Roman" w:cs="Times New Roman" w:eastAsia="Times New Roman" w:hAnsi="Times New Roman"/>
          <w:sz w:val="21"/>
          <w:szCs w:val="21"/>
          <w:u w:val="single" w:color="auto"/>
          <w:color w:val="auto"/>
        </w:rPr>
        <w:t>Mitigation Obligations; Replacement of Lenders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Designation of Different Lending Office</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or requires the Borrower to pay any Indemnified Taxes or any additional amount to any Lender or any Governmental Authority for the account of any Lender pursuant to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79"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Replacement of Lenders</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or if any Lender</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11" w:name="page112"/>
    <w:bookmarkEnd w:id="111"/>
    <w:p>
      <w:pPr>
        <w:jc w:val="both"/>
        <w:ind w:right="399"/>
        <w:spacing w:after="0" w:line="243" w:lineRule="auto"/>
        <w:rPr>
          <w:sz w:val="20"/>
          <w:szCs w:val="20"/>
          <w:color w:val="auto"/>
        </w:rPr>
      </w:pPr>
      <w:r>
        <w:rPr>
          <w:rFonts w:ascii="Times New Roman" w:cs="Times New Roman" w:eastAsia="Times New Roman" w:hAnsi="Times New Roman"/>
          <w:sz w:val="21"/>
          <w:szCs w:val="21"/>
          <w:color w:val="auto"/>
        </w:rPr>
        <w:t xml:space="preserve">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1"/>
          <w:szCs w:val="21"/>
          <w:u w:val="single" w:color="auto"/>
          <w:color w:val="auto"/>
        </w:rPr>
        <w:t>Section 12.04</w:t>
      </w:r>
      <w:r>
        <w:rPr>
          <w:rFonts w:ascii="Times New Roman" w:cs="Times New Roman" w:eastAsia="Times New Roman" w:hAnsi="Times New Roman"/>
          <w:sz w:val="21"/>
          <w:szCs w:val="21"/>
          <w:color w:val="auto"/>
        </w:rPr>
        <w:t xml:space="preserve">), all of its interests, rights (other than its existing rights to payments pursuant to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the Borrower shall have paid, or shall have caused such assignee to have paid, to the Administrative Agent the assignment fee specified in </w:t>
      </w:r>
      <w:r>
        <w:rPr>
          <w:rFonts w:ascii="Times New Roman" w:cs="Times New Roman" w:eastAsia="Times New Roman" w:hAnsi="Times New Roman"/>
          <w:sz w:val="21"/>
          <w:szCs w:val="21"/>
          <w:u w:val="single" w:color="auto"/>
          <w:color w:val="auto"/>
        </w:rPr>
        <w:t>Section 12.04(b)(iv)</w:t>
      </w:r>
      <w:r>
        <w:rPr>
          <w:rFonts w:ascii="Times New Roman" w:cs="Times New Roman" w:eastAsia="Times New Roman" w:hAnsi="Times New Roman"/>
          <w:sz w:val="21"/>
          <w:szCs w:val="21"/>
          <w:color w:val="auto"/>
        </w:rPr>
        <w:t xml:space="preserve">, (ii) such Lender shall have received payment of an amount equal to the outstanding principal of its Loans and participations in LC Disbursements, accrued interest thereon, accrued fees and all other amounts payable to it hereunder and under the other Loan Documents (including any amounts under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from the assignee (to the extent of such outstanding principal and accrued interest and fees) or the Borrower (in the case of all other amounts), (iii) in the case of any such assignment resulting from a claim for compensation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5.01</w:t>
      </w:r>
      <w:r>
        <w:rPr>
          <w:rFonts w:ascii="Times New Roman" w:cs="Times New Roman" w:eastAsia="Times New Roman" w:hAnsi="Times New Roman"/>
          <w:sz w:val="21"/>
          <w:szCs w:val="21"/>
          <w:color w:val="auto"/>
        </w:rPr>
        <w:t xml:space="preserve"> or payments required to be made pursuant to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such assignment will result in a reduction in such compensation or payments thereafter, (iv) such assignment does not conflict with applicable law, and</w:t>
      </w:r>
    </w:p>
    <w:p>
      <w:pPr>
        <w:spacing w:after="0" w:line="1" w:lineRule="exact"/>
        <w:rPr>
          <w:sz w:val="20"/>
          <w:szCs w:val="20"/>
          <w:color w:val="auto"/>
        </w:rPr>
      </w:pPr>
    </w:p>
    <w:p>
      <w:pPr>
        <w:jc w:val="both"/>
        <w:ind w:right="399" w:firstLine="2"/>
        <w:spacing w:after="0" w:line="233" w:lineRule="auto"/>
        <w:tabs>
          <w:tab w:leader="none" w:pos="30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assignment resulting from a Lender becoming a Non-Consenting Lender, the applicable assignee shall have consented to the applicable amendment, waiver, or consent. 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9" w:lineRule="exact"/>
        <w:rPr>
          <w:sz w:val="20"/>
          <w:szCs w:val="20"/>
          <w:color w:val="auto"/>
        </w:rPr>
      </w:pPr>
    </w:p>
    <w:p>
      <w:pPr>
        <w:jc w:val="both"/>
        <w:ind w:right="399"/>
        <w:spacing w:after="0" w:line="251" w:lineRule="auto"/>
        <w:rPr>
          <w:sz w:val="20"/>
          <w:szCs w:val="20"/>
          <w:color w:val="auto"/>
        </w:rPr>
      </w:pPr>
      <w:r>
        <w:rPr>
          <w:rFonts w:ascii="Times New Roman" w:cs="Times New Roman" w:eastAsia="Times New Roman" w:hAnsi="Times New Roman"/>
          <w:sz w:val="21"/>
          <w:szCs w:val="21"/>
          <w:color w:val="auto"/>
        </w:rPr>
        <w:t>Notwithstanding the foregoing, a Lender shall not be required to make any such assignment and, delegation if such Lender (or its Affiliate) is a Secured Hedging Agreement Counterparty with any outstanding Secured Hedging Agreements, unless on or prior thereto, all such Secured Hedging Agreements have been terminated or novated to another Person and such Lender (or its Affiliate) shall have received payment of all amounts, if any payable to it in connection with such termination or novation.</w:t>
      </w:r>
    </w:p>
    <w:p>
      <w:pPr>
        <w:spacing w:after="0" w:line="168" w:lineRule="exact"/>
        <w:rPr>
          <w:sz w:val="20"/>
          <w:szCs w:val="20"/>
          <w:color w:val="auto"/>
        </w:rPr>
      </w:pPr>
    </w:p>
    <w:p>
      <w:pPr>
        <w:jc w:val="both"/>
        <w:ind w:right="399" w:firstLine="747"/>
        <w:spacing w:after="0" w:line="245" w:lineRule="auto"/>
        <w:rPr>
          <w:sz w:val="20"/>
          <w:szCs w:val="20"/>
          <w:color w:val="auto"/>
        </w:rPr>
      </w:pPr>
      <w:r>
        <w:rPr>
          <w:rFonts w:ascii="Times New Roman" w:cs="Times New Roman" w:eastAsia="Times New Roman" w:hAnsi="Times New Roman"/>
          <w:sz w:val="21"/>
          <w:szCs w:val="21"/>
          <w:color w:val="auto"/>
        </w:rPr>
        <w:t xml:space="preserve">Section 5.05 </w:t>
      </w:r>
      <w:r>
        <w:rPr>
          <w:rFonts w:ascii="Times New Roman" w:cs="Times New Roman" w:eastAsia="Times New Roman" w:hAnsi="Times New Roman"/>
          <w:sz w:val="21"/>
          <w:szCs w:val="21"/>
          <w:u w:val="single" w:color="auto"/>
          <w:color w:val="auto"/>
        </w:rPr>
        <w:t>Illegality</w:t>
      </w:r>
      <w:r>
        <w:rPr>
          <w:rFonts w:ascii="Times New Roman" w:cs="Times New Roman" w:eastAsia="Times New Roman" w:hAnsi="Times New Roman"/>
          <w:sz w:val="21"/>
          <w:szCs w:val="21"/>
          <w:color w:val="auto"/>
        </w:rPr>
        <w:t>. Notwithstanding any other provision of this Agreement, in the event that it becomes unlawful for any Lender or its applicable lending office to honor its obligation to make or maintain SOFR Loans either generally or having a particular Interest Period hereunder, then (a) such Lender shall promptly notify the Borrower and the Administrative Agent thereof and such Lender’s obligation to make such SOFR Loans shall be suspended (the “</w:t>
      </w:r>
      <w:r>
        <w:rPr>
          <w:rFonts w:ascii="Times New Roman" w:cs="Times New Roman" w:eastAsia="Times New Roman" w:hAnsi="Times New Roman"/>
          <w:sz w:val="21"/>
          <w:szCs w:val="21"/>
          <w:u w:val="single" w:color="auto"/>
          <w:color w:val="auto"/>
        </w:rPr>
        <w:t>Affected Loans</w:t>
      </w:r>
      <w:r>
        <w:rPr>
          <w:rFonts w:ascii="Times New Roman" w:cs="Times New Roman" w:eastAsia="Times New Roman" w:hAnsi="Times New Roman"/>
          <w:sz w:val="21"/>
          <w:szCs w:val="21"/>
          <w:color w:val="auto"/>
        </w:rPr>
        <w:t>”) until such time as such Lender may again make and maintain such SOFR Loans and (b) all Affected Loans that would otherwise be made by such Lender shall be made instead as ABR Loans (and, if such Lender so requests by written notice to the Borrower and the Administrative Agent, all Affected Loans of such Lender then outstanding shall be automatically converted into ABR Loans on the date specified by such Lender in such notice) and, to the extent that Affected Loans are so made as (or converted into) ABR Loans, all payments of principal that would otherwise be applied to such Lender’s Affected Loans shall be applied instead to its ABR Loans.</w:t>
      </w:r>
    </w:p>
    <w:p>
      <w:pPr>
        <w:spacing w:after="0" w:line="17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182" w:lineRule="exact"/>
        <w:rPr>
          <w:sz w:val="20"/>
          <w:szCs w:val="20"/>
          <w:color w:val="auto"/>
        </w:rPr>
      </w:pPr>
    </w:p>
    <w:p>
      <w:pPr>
        <w:jc w:val="both"/>
        <w:ind w:right="399" w:firstLine="747"/>
        <w:spacing w:after="0" w:line="243"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Agreement shall not become effective until the Business Day as of which each of the following conditions has been satisfied:</w:t>
      </w:r>
    </w:p>
    <w:p>
      <w:pPr>
        <w:ind w:left="5140"/>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12" w:name="page113"/>
    <w:bookmarkEnd w:id="112"/>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(a)The Administrative Agent, the Arranger and the Lenders shall have received all commitment, facility and agency fees and all other fees and amounts due and payable on or prior to the Effective Date, including, all fees payable on or prior to the Effective Date pursuant to the Fee Letter and, to the extent invoiced at least one (1) Business Day prior to the Effective Date, reimbursement or payment of all out-of-pocket expenses required to be reimbursed or paid by the Borrower hereunder (including, without limitation, the fees and expenses of Paul Hastings LLP, counsel to the Administrative Agent, and any consultants to the Administrative Agent).</w:t>
      </w:r>
    </w:p>
    <w:p>
      <w:pPr>
        <w:spacing w:after="0" w:line="183"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(b)The Administrative Agent shall have received certificates of the Secretary or an Assistant Secretary (or if such officers are unavailable, a Responsible Officer) of each Loan Party setting forth (i) resolutions of its member, board of directors or managers (or its equivalent governing body) with respect to the authorization of such Person to execute and deliver the Loan Documents to which it is a party and to enter into the Transactions contemplated in those documents, (ii) the officers of each Loan Party (A) who are authorized to sign the Loan Documents to which such Person is a party and (B) who will, until replaced by another officer or officers duly authorized for that purpose, act as such Person’s representative for the purposes of signing documents and giving notices and other communications in connection with this Agreement and the Transactions contemplated hereby, (iii) specimen signatures of such authorized officers, and (iv) the Organization Documents of each Loan Party, certified as being true and complete. The Administrative Agent and the Lenders may conclusively rely on such certificates until the Administrative Agent receives notice in writing from the relevant Loan Party to the contrary.</w:t>
      </w:r>
    </w:p>
    <w:p>
      <w:pPr>
        <w:spacing w:after="0" w:line="185" w:lineRule="exact"/>
        <w:rPr>
          <w:sz w:val="20"/>
          <w:szCs w:val="20"/>
          <w:color w:val="auto"/>
        </w:rPr>
      </w:pPr>
    </w:p>
    <w:p>
      <w:pPr>
        <w:jc w:val="both"/>
        <w:ind w:right="399" w:firstLine="1498"/>
        <w:spacing w:after="0" w:line="282" w:lineRule="auto"/>
        <w:rPr>
          <w:sz w:val="20"/>
          <w:szCs w:val="20"/>
          <w:color w:val="auto"/>
        </w:rPr>
      </w:pPr>
      <w:r>
        <w:rPr>
          <w:rFonts w:ascii="Times New Roman" w:cs="Times New Roman" w:eastAsia="Times New Roman" w:hAnsi="Times New Roman"/>
          <w:sz w:val="21"/>
          <w:szCs w:val="21"/>
          <w:color w:val="auto"/>
        </w:rPr>
        <w:t>(c)The Administrative Agent shall have received certificates of the appropriate state agencies with respect to the existence and good standing of each Loan Party in its jurisdiction of formation.</w:t>
      </w:r>
    </w:p>
    <w:p>
      <w:pPr>
        <w:spacing w:after="0" w:line="135"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(d)The Administrative Agent shall have received from each party hereto counterparts (in such number as may be requested by the Administrative Agent) of this Agreement signed on behalf of such party.</w:t>
      </w:r>
    </w:p>
    <w:p>
      <w:pPr>
        <w:spacing w:after="0" w:line="173"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(e)The Administrative Agent shall have received duly executed Notes payable to each Lender (or its registered assigns) that has requested a Note at least one (1) Business Day prior to the Effective Date in a principal amount equal to such Lender’s Commitment as of the Effective Date.</w:t>
      </w:r>
    </w:p>
    <w:p>
      <w:pPr>
        <w:spacing w:after="0" w:line="173" w:lineRule="exact"/>
        <w:rPr>
          <w:sz w:val="20"/>
          <w:szCs w:val="20"/>
          <w:color w:val="auto"/>
        </w:rPr>
      </w:pPr>
    </w:p>
    <w:p>
      <w:pPr>
        <w:ind w:left="2240" w:hanging="740"/>
        <w:spacing w:after="0"/>
        <w:tabs>
          <w:tab w:leader="none" w:pos="22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have received all consents and approvals required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2240" w:hanging="740"/>
        <w:spacing w:after="0"/>
        <w:tabs>
          <w:tab w:leader="none" w:pos="22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and satisfactorily completed</w:t>
      </w:r>
    </w:p>
    <w:p>
      <w:pPr>
        <w:spacing w:after="0" w:line="14" w:lineRule="exact"/>
        <w:rPr>
          <w:sz w:val="20"/>
          <w:szCs w:val="20"/>
          <w:color w:val="auto"/>
        </w:rPr>
      </w:pPr>
    </w:p>
    <w:p>
      <w:pPr>
        <w:jc w:val="both"/>
        <w:ind w:right="399"/>
        <w:spacing w:after="0" w:line="230" w:lineRule="auto"/>
        <w:rPr>
          <w:sz w:val="20"/>
          <w:szCs w:val="20"/>
          <w:color w:val="auto"/>
        </w:rPr>
      </w:pPr>
      <w:r>
        <w:rPr>
          <w:rFonts w:ascii="Times New Roman" w:cs="Times New Roman" w:eastAsia="Times New Roman" w:hAnsi="Times New Roman"/>
          <w:sz w:val="22"/>
          <w:szCs w:val="22"/>
          <w:color w:val="auto"/>
        </w:rPr>
        <w:t>its review of (i) any existing and available information reasonably requested by it relating to the environmental condition of the Loan Parties’ Material Real Properties and the Loan Parties’ operations, including copies of any existing and available reports prepared by third-party environmental consultants with respect to such Properties, (ii) any information requested by it relating to material processing, gathering, transportation and storage agreements, interconnect and facilities agreements, marketing agreements and other similar material commercial agreements of the Relevant Parties, including the Specified Material Contracts and each other Material Contract</w:t>
      </w:r>
    </w:p>
    <w:p>
      <w:pPr>
        <w:spacing w:after="0" w:line="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13" w:name="page114"/>
    <w:bookmarkEnd w:id="113"/>
    <w:p>
      <w:pPr>
        <w:jc w:val="both"/>
        <w:ind w:right="399"/>
        <w:spacing w:after="0" w:line="238" w:lineRule="auto"/>
        <w:rPr>
          <w:sz w:val="20"/>
          <w:szCs w:val="20"/>
          <w:color w:val="auto"/>
        </w:rPr>
      </w:pPr>
      <w:r>
        <w:rPr>
          <w:rFonts w:ascii="Times New Roman" w:cs="Times New Roman" w:eastAsia="Times New Roman" w:hAnsi="Times New Roman"/>
          <w:sz w:val="22"/>
          <w:szCs w:val="22"/>
          <w:color w:val="auto"/>
        </w:rPr>
        <w:t>in effect as of the Effective Date, (iii) copies of any report obtained by the Relevant Parties or their affiliates from any engineering firm or other consultant evaluating the reserves in the target area of the Pinnacle System, and (iv) all other due diligence materials reasonably requested by it from the Relevant Parties relating to the Relevant Parties and their Property, in scope and with results reasonably satisfactory to the Administrative Agent.</w:t>
      </w:r>
    </w:p>
    <w:p>
      <w:pPr>
        <w:spacing w:after="0" w:line="177" w:lineRule="exact"/>
        <w:rPr>
          <w:sz w:val="20"/>
          <w:szCs w:val="20"/>
          <w:color w:val="auto"/>
        </w:rPr>
      </w:pPr>
    </w:p>
    <w:p>
      <w:pPr>
        <w:jc w:val="both"/>
        <w:ind w:right="419" w:firstLine="1498"/>
        <w:spacing w:after="0" w:line="258" w:lineRule="auto"/>
        <w:rPr>
          <w:sz w:val="20"/>
          <w:szCs w:val="20"/>
          <w:color w:val="auto"/>
        </w:rPr>
      </w:pPr>
      <w:r>
        <w:rPr>
          <w:rFonts w:ascii="Times New Roman" w:cs="Times New Roman" w:eastAsia="Times New Roman" w:hAnsi="Times New Roman"/>
          <w:sz w:val="22"/>
          <w:szCs w:val="22"/>
          <w:color w:val="auto"/>
        </w:rPr>
        <w:t>(h)Since December 31, 2024, there has been no event, development or circumstance that has had or would reasonably be expected to have a Material Adverse Effect.</w:t>
      </w:r>
    </w:p>
    <w:p>
      <w:pPr>
        <w:spacing w:after="0" w:line="158"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(i)The Administrative Agent shall have received (i) from the Loan Parties, to the extent requested by the Lenders or the Administrative Agent at least three (3) Business Days before the Effective Date, all documentation and other information required by regulatory authorities under applicable “know your customer” and anti-money laundering rules and regulations, including the PATRIOT Act and (ii) from the Borrower, at least three (3) Business Days prior to the Effective Date, to the extent the Borrower qualifies as a “legal entity customer” under the Beneficial Ownership Regulation, a Beneficial Ownership Certification in relation to the Borrower.</w:t>
      </w:r>
    </w:p>
    <w:p>
      <w:pPr>
        <w:spacing w:after="0" w:line="183"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(j)No material litigation, arbitration or similar proceeding shall be pending or threatened that (i) calls into question the validity or enforceability of this Agreement, the other Loan Documents or the Transactions or (ii) has had, or could reasonably be expected to have, a Material Adverse Effect, and no proceeding under any Debtor Relief Law is pending or threatened in respect of any Loan Party, its debts, or any substantial part of its Property.</w:t>
      </w:r>
    </w:p>
    <w:p>
      <w:pPr>
        <w:spacing w:after="0" w:line="177" w:lineRule="exact"/>
        <w:rPr>
          <w:sz w:val="20"/>
          <w:szCs w:val="20"/>
          <w:color w:val="auto"/>
        </w:rPr>
      </w:pPr>
    </w:p>
    <w:p>
      <w:pPr>
        <w:jc w:val="both"/>
        <w:ind w:right="399" w:firstLine="1498"/>
        <w:spacing w:after="0" w:line="243" w:lineRule="auto"/>
        <w:rPr>
          <w:sz w:val="20"/>
          <w:szCs w:val="20"/>
          <w:color w:val="auto"/>
        </w:rPr>
      </w:pPr>
      <w:r>
        <w:rPr>
          <w:rFonts w:ascii="Times New Roman" w:cs="Times New Roman" w:eastAsia="Times New Roman" w:hAnsi="Times New Roman"/>
          <w:sz w:val="21"/>
          <w:szCs w:val="21"/>
          <w:color w:val="auto"/>
        </w:rPr>
        <w:t xml:space="preserve">(k)The Administrative Agent shall have received a certificate substantially in the form of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duly and properly executed by a Financial Officer of the Borrower and dated as of the Effective Date, certifying, before and after giving effect to the Transactions occurring on the Effective Date, (i) the representations and warranties contained in the Loan Documents executed and delivered on the Effective Date shall be true and correct in all material respects as of the Effective Date, except (A) to the extent any such representations and warranties are expressly limited to an earlier date, in which case, on and as of the Effective Date, such representations and warranties shall continue to be true and correct in all material respects as of such specified earlier date and (B) to the extent that any representation or warranty that is qualified by “material” or “Material Adverse Effect” references therein, such representation or warranty shall be true and correct in all respects, (ii) that the Relevant Parties, taken as a whole, are Solvent, (iii) that no Default has occurred or is continuing as of the Effective Date, (iv) that the conditions set forth in </w:t>
      </w:r>
      <w:r>
        <w:rPr>
          <w:rFonts w:ascii="Times New Roman" w:cs="Times New Roman" w:eastAsia="Times New Roman" w:hAnsi="Times New Roman"/>
          <w:sz w:val="21"/>
          <w:szCs w:val="21"/>
          <w:u w:val="single" w:color="auto"/>
          <w:color w:val="auto"/>
        </w:rPr>
        <w:t>clauses</w:t>
      </w:r>
    </w:p>
    <w:p>
      <w:pPr>
        <w:spacing w:after="0" w:line="8" w:lineRule="exact"/>
        <w:rPr>
          <w:sz w:val="20"/>
          <w:szCs w:val="20"/>
          <w:color w:val="auto"/>
        </w:rPr>
      </w:pPr>
    </w:p>
    <w:p>
      <w:pPr>
        <w:jc w:val="both"/>
        <w:ind w:right="399"/>
        <w:spacing w:after="0" w:line="237" w:lineRule="auto"/>
        <w:rPr>
          <w:sz w:val="20"/>
          <w:szCs w:val="20"/>
          <w:color w:val="auto"/>
        </w:rPr>
      </w:pP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are satisfied as of the Effective Date, and (v) that attached thereto are true correct and complete copies of all Material Contracts in effect as of the Effective Date.</w:t>
      </w:r>
    </w:p>
    <w:p>
      <w:pPr>
        <w:spacing w:after="0" w:line="178" w:lineRule="exact"/>
        <w:rPr>
          <w:sz w:val="20"/>
          <w:szCs w:val="20"/>
          <w:color w:val="auto"/>
        </w:rPr>
      </w:pPr>
    </w:p>
    <w:p>
      <w:pPr>
        <w:ind w:left="2240" w:hanging="740"/>
        <w:spacing w:after="0"/>
        <w:tabs>
          <w:tab w:leader="none" w:pos="22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w:t>
      </w:r>
    </w:p>
    <w:p>
      <w:pPr>
        <w:spacing w:after="0" w:line="206" w:lineRule="exact"/>
        <w:rPr>
          <w:rFonts w:ascii="Times New Roman" w:cs="Times New Roman" w:eastAsia="Times New Roman" w:hAnsi="Times New Roman"/>
          <w:sz w:val="22"/>
          <w:szCs w:val="22"/>
          <w:color w:val="auto"/>
        </w:rPr>
      </w:pPr>
    </w:p>
    <w:p>
      <w:pPr>
        <w:jc w:val="both"/>
        <w:ind w:right="399" w:firstLine="2249"/>
        <w:spacing w:after="0" w:line="235" w:lineRule="auto"/>
        <w:tabs>
          <w:tab w:leader="none" w:pos="2621"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have received the Security Instruments duly executed by the Borrower, the other Loan Parties party thereto and the Parent Pledgor, as applicable, and (B) be reasonably satisfied that (1) the Security Instruments create first priority Liens (subject only to Liens and exceptions permitted under the applicable Security Instrument and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only Permitted Liens described in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9.03(d)</w:t>
      </w:r>
      <w:r>
        <w:rPr>
          <w:rFonts w:ascii="Times New Roman" w:cs="Times New Roman" w:eastAsia="Times New Roman" w:hAnsi="Times New Roman"/>
          <w:sz w:val="22"/>
          <w:szCs w:val="22"/>
          <w:color w:val="auto"/>
        </w:rPr>
        <w:t xml:space="preserve"> and Excepted Liens</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14" w:name="page115"/>
    <w:bookmarkEnd w:id="114"/>
    <w:p>
      <w:pPr>
        <w:jc w:val="both"/>
        <w:ind w:right="399"/>
        <w:spacing w:after="0" w:line="238" w:lineRule="auto"/>
        <w:rPr>
          <w:sz w:val="20"/>
          <w:szCs w:val="20"/>
          <w:color w:val="auto"/>
        </w:rPr>
      </w:pPr>
      <w:r>
        <w:rPr>
          <w:rFonts w:ascii="Times New Roman" w:cs="Times New Roman" w:eastAsia="Times New Roman" w:hAnsi="Times New Roman"/>
          <w:sz w:val="22"/>
          <w:szCs w:val="22"/>
          <w:color w:val="auto"/>
        </w:rPr>
        <w:t>afforded priority by operation of law may be prior to the Administrative Agent’s Lien) on substantially all of the tangible and intangible Property of the Loan Parties other than Excluded Property and unrecorded Deeds and Rights of Way, and (2) such Liens will either be perfected as of the Effective Date or arrangements for the perfection of such Liens thereafter reasonably satisfactory to the Administrative Agent have been made; and</w:t>
      </w:r>
    </w:p>
    <w:p>
      <w:pPr>
        <w:spacing w:after="0" w:line="177" w:lineRule="exact"/>
        <w:rPr>
          <w:sz w:val="20"/>
          <w:szCs w:val="20"/>
          <w:color w:val="auto"/>
        </w:rPr>
      </w:pPr>
    </w:p>
    <w:p>
      <w:pPr>
        <w:jc w:val="both"/>
        <w:ind w:right="399" w:firstLine="2249"/>
        <w:spacing w:after="0" w:line="239" w:lineRule="auto"/>
        <w:tabs>
          <w:tab w:leader="none" w:pos="262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received original certificates, together with undated, blank stock powers (or equivalent instruments of transfer) for each such certificate, representing all of the issued and outstanding Equity Interests of each of the Loan Parties’ Subsidiaries to the extent such Equity Interests are certificated.</w:t>
      </w:r>
    </w:p>
    <w:p>
      <w:pPr>
        <w:spacing w:after="0" w:line="180"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(m)The Administrative Agent shall have received a reasonably satisfactory opinion of O’Melveny &amp; Myers LLP, special counsel to the Loan Parties, in form and substance satisfactory to the Administrative Agent and permitting reasonable reliance thereon by permitted assigns of the Administrative Agent or any Lender.</w:t>
      </w:r>
    </w:p>
    <w:p>
      <w:pPr>
        <w:spacing w:after="0" w:line="180"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 xml:space="preserve">(n)The Administrative Agent shall have received (i) flood determinations with respect to any location where any Building or Manufactured (Mobile) Home owned by any Loan Party is located, as certified by a Responsible Officer of the Borrower, and (ii) certificates and/or evidence of insurance coverage of the Loan Parties evidencing that the Loan Parties are carrying insurance in accordance with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8.07</w:t>
      </w:r>
      <w:r>
        <w:rPr>
          <w:rFonts w:ascii="Times New Roman" w:cs="Times New Roman" w:eastAsia="Times New Roman" w:hAnsi="Times New Roman"/>
          <w:sz w:val="22"/>
          <w:szCs w:val="22"/>
          <w:color w:val="auto"/>
        </w:rPr>
        <w:t>, including copies of relevant policy provisions or endorsements and certifications regarding Flood Insurance matters as are reasonably requested by the Administrative Agent.</w:t>
      </w:r>
    </w:p>
    <w:p>
      <w:pPr>
        <w:spacing w:after="0" w:line="181"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(o)The Administrative Agent shall have received such title information as the Administrative Agent may reasonably require satisfactory to the Administrative Agent setting forth the status of title to the real Property of the Loan Parties.</w:t>
      </w:r>
    </w:p>
    <w:p>
      <w:pPr>
        <w:spacing w:after="0" w:line="173"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(p)The Administrative Agent shall have received (i) the Financial Statements and (ii) a financial model, including projections, prepared by management and that is in form and detail reasonably satisfactory to the Administrative Agent.</w:t>
      </w:r>
    </w:p>
    <w:p>
      <w:pPr>
        <w:spacing w:after="0" w:line="173"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 xml:space="preserve">(q)The Administrative Agent shall have received (i) a perfection certificate signed by the Borrower, and (ii) UCC and other Lien search results in Delaware, Texas and any other jurisdiction reasonably requested by the Administrative Agent reflecting no prior Liens encumbering the Properties of the Relevant Parties other than Liens being assigned or released on or prior to the Effective Date and Permitted Liens (other than Liens permitted in reliance on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right="399"/>
        <w:spacing w:after="0" w:line="233" w:lineRule="auto"/>
        <w:rPr>
          <w:sz w:val="20"/>
          <w:szCs w:val="20"/>
          <w:color w:val="auto"/>
        </w:rPr>
      </w:pPr>
      <w:r>
        <w:rPr>
          <w:rFonts w:ascii="Times New Roman" w:cs="Times New Roman" w:eastAsia="Times New Roman" w:hAnsi="Times New Roman"/>
          <w:sz w:val="22"/>
          <w:szCs w:val="22"/>
          <w:color w:val="auto"/>
        </w:rPr>
        <w:t xml:space="preserve">Without limiting the generality of the provisions of </w:t>
      </w:r>
      <w:r>
        <w:rPr>
          <w:rFonts w:ascii="Times New Roman" w:cs="Times New Roman" w:eastAsia="Times New Roman" w:hAnsi="Times New Roman"/>
          <w:sz w:val="22"/>
          <w:szCs w:val="22"/>
          <w:u w:val="single" w:color="auto"/>
          <w:color w:val="auto"/>
        </w:rPr>
        <w:t>Section 11.04</w:t>
      </w:r>
      <w:r>
        <w:rPr>
          <w:rFonts w:ascii="Times New Roman" w:cs="Times New Roman" w:eastAsia="Times New Roman" w:hAnsi="Times New Roman"/>
          <w:sz w:val="22"/>
          <w:szCs w:val="22"/>
          <w:color w:val="auto"/>
        </w:rPr>
        <w:t xml:space="preserve">, for purposes of determining compliance with the conditions specified in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each Lender that has signed this Agreement shall be deemed to have consented to, approved or accepted or to be satisfied with, each document or other matter required under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to be consented to or approved by or acceptable or reasonably satisfactory to a Lender or the Administrative Agent unless the Administrative Agent shall have received written notice from such Lender prior to the date hereof specifying its objection thereto. All documents executed or submitted pursuant to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by and on behalf of the Borrower or any other Loan Party shall be in form and substance reasonably</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15" w:name="page116"/>
    <w:bookmarkEnd w:id="115"/>
    <w:p>
      <w:pPr>
        <w:jc w:val="both"/>
        <w:ind w:right="399"/>
        <w:spacing w:after="0" w:line="258" w:lineRule="auto"/>
        <w:rPr>
          <w:sz w:val="20"/>
          <w:szCs w:val="20"/>
          <w:color w:val="auto"/>
        </w:rPr>
      </w:pPr>
      <w:r>
        <w:rPr>
          <w:rFonts w:ascii="Times New Roman" w:cs="Times New Roman" w:eastAsia="Times New Roman" w:hAnsi="Times New Roman"/>
          <w:sz w:val="22"/>
          <w:szCs w:val="22"/>
          <w:color w:val="auto"/>
        </w:rPr>
        <w:t>satisfactory to the Administrative Agent and its counsel. The Administrative Agent shall notify the Borrower and the Lenders of the Effective Date, and such notice shall be conclusive and binding.</w:t>
      </w:r>
    </w:p>
    <w:p>
      <w:pPr>
        <w:spacing w:after="0" w:line="158"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Each Credit Event</w:t>
      </w:r>
      <w:r>
        <w:rPr>
          <w:rFonts w:ascii="Times New Roman" w:cs="Times New Roman" w:eastAsia="Times New Roman" w:hAnsi="Times New Roman"/>
          <w:sz w:val="22"/>
          <w:szCs w:val="22"/>
          <w:color w:val="auto"/>
        </w:rPr>
        <w:t>. The obligation of each Lender to make a Loan on the occasion of any Borrowing (including the initial funding), and of the Issuing Bank to issue, amend, renew or extend any Letter of Credit, in each case during the Availability Period, is subject to the satisfaction of the following conditions:</w:t>
      </w:r>
    </w:p>
    <w:p>
      <w:pPr>
        <w:spacing w:after="0" w:line="180" w:lineRule="exact"/>
        <w:rPr>
          <w:sz w:val="20"/>
          <w:szCs w:val="20"/>
          <w:color w:val="auto"/>
        </w:rPr>
      </w:pPr>
    </w:p>
    <w:p>
      <w:pPr>
        <w:jc w:val="both"/>
        <w:ind w:right="399" w:firstLine="1498"/>
        <w:spacing w:after="0" w:line="261" w:lineRule="auto"/>
        <w:rPr>
          <w:sz w:val="20"/>
          <w:szCs w:val="20"/>
          <w:color w:val="auto"/>
        </w:rPr>
      </w:pPr>
      <w:r>
        <w:rPr>
          <w:rFonts w:ascii="Times New Roman" w:cs="Times New Roman" w:eastAsia="Times New Roman" w:hAnsi="Times New Roman"/>
          <w:sz w:val="21"/>
          <w:szCs w:val="21"/>
          <w:color w:val="auto"/>
        </w:rPr>
        <w:t>(a)At the time of and immediately after giving effect to such Borrowing or the issuance, amendment, renewal or extension of such Letter of Credit, as applicable, (i) no Default shall have occurred and be continuing and (ii) the Revolving Credit Exposure shall not exceed the Maximum Credit Amount.</w:t>
      </w:r>
    </w:p>
    <w:p>
      <w:pPr>
        <w:spacing w:after="0" w:line="157" w:lineRule="exact"/>
        <w:rPr>
          <w:sz w:val="20"/>
          <w:szCs w:val="20"/>
          <w:color w:val="auto"/>
        </w:rPr>
      </w:pPr>
    </w:p>
    <w:p>
      <w:pPr>
        <w:jc w:val="both"/>
        <w:ind w:right="399" w:firstLine="1498"/>
        <w:spacing w:after="0" w:line="246" w:lineRule="auto"/>
        <w:rPr>
          <w:sz w:val="20"/>
          <w:szCs w:val="20"/>
          <w:color w:val="auto"/>
        </w:rPr>
      </w:pPr>
      <w:r>
        <w:rPr>
          <w:rFonts w:ascii="Times New Roman" w:cs="Times New Roman" w:eastAsia="Times New Roman" w:hAnsi="Times New Roman"/>
          <w:sz w:val="21"/>
          <w:szCs w:val="21"/>
          <w:color w:val="auto"/>
        </w:rPr>
        <w:t>(b)The representations and warranties of each Relevant Party set forth in this Agreement and in the other Loan Documents shall be true and correct in all material respects on and as of the date of such Borrowing or the date of issuance, amendment, renewal or extension of such Letter of Credit, as applicable, except (i) to the extent any such representations and warranties are expressly limited to an earlier date, in which case, on and as of the date of such Borrowing or the date of issuance, amendment, renewal or extension of such Letter of Credit, as applicable, such representations and warranties shall continue to be true and correct in all material respects as of such specified earlier date and (ii) to the extent that any representation or warranty that is qualified by “material” or “Material Adverse Effect” references therein, such representation or warranty shall be true and correct in all respects on and as of the date of such Borrowing or the date of issuance, amendment, renewal or extension of such Letter of Credit, as applicable.</w:t>
      </w:r>
    </w:p>
    <w:p>
      <w:pPr>
        <w:spacing w:after="0" w:line="171"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 xml:space="preserve">(c)The Administrative Agent shall have received a Borrowing Request in accordance with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or a request for a Letter of Credit and related Letter of Credit Agreement in accordance with </w:t>
      </w:r>
      <w:r>
        <w:rPr>
          <w:rFonts w:ascii="Times New Roman" w:cs="Times New Roman" w:eastAsia="Times New Roman" w:hAnsi="Times New Roman"/>
          <w:sz w:val="22"/>
          <w:szCs w:val="22"/>
          <w:u w:val="single" w:color="auto"/>
          <w:color w:val="auto"/>
        </w:rPr>
        <w:t>Section 2.07(b)</w:t>
      </w:r>
      <w:r>
        <w:rPr>
          <w:rFonts w:ascii="Times New Roman" w:cs="Times New Roman" w:eastAsia="Times New Roman" w:hAnsi="Times New Roman"/>
          <w:sz w:val="22"/>
          <w:szCs w:val="22"/>
          <w:color w:val="auto"/>
        </w:rPr>
        <w:t>, as applicable.</w:t>
      </w:r>
    </w:p>
    <w:p>
      <w:pPr>
        <w:spacing w:after="0" w:line="173" w:lineRule="exact"/>
        <w:rPr>
          <w:sz w:val="20"/>
          <w:szCs w:val="20"/>
          <w:color w:val="auto"/>
        </w:rPr>
      </w:pPr>
    </w:p>
    <w:p>
      <w:pPr>
        <w:jc w:val="both"/>
        <w:ind w:right="399"/>
        <w:spacing w:after="0" w:line="239" w:lineRule="auto"/>
        <w:rPr>
          <w:sz w:val="20"/>
          <w:szCs w:val="20"/>
          <w:color w:val="auto"/>
        </w:rPr>
      </w:pPr>
      <w:r>
        <w:rPr>
          <w:rFonts w:ascii="Times New Roman" w:cs="Times New Roman" w:eastAsia="Times New Roman" w:hAnsi="Times New Roman"/>
          <w:sz w:val="22"/>
          <w:szCs w:val="22"/>
          <w:color w:val="auto"/>
        </w:rPr>
        <w:t xml:space="preserve">Each request for a Borrowing and each request for the issuance, amendment, renewal or extension of any Letter of Credit and each acceptance of the foregoing shall be deemed to constitute a representation and warranty by the Borrower on the date thereof as to the matters specified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82"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The Borrower represents and warrants, and each Guarantor by its execution of a Guaranty and Collateral Agreement represents and warrants, to the Administrative Agent, the Issuing Bank and the Lenders that:</w:t>
      </w:r>
    </w:p>
    <w:p>
      <w:pPr>
        <w:spacing w:after="0" w:line="173"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Organization; Powers</w:t>
      </w:r>
      <w:r>
        <w:rPr>
          <w:rFonts w:ascii="Times New Roman" w:cs="Times New Roman" w:eastAsia="Times New Roman" w:hAnsi="Times New Roman"/>
          <w:sz w:val="22"/>
          <w:szCs w:val="22"/>
          <w:color w:val="auto"/>
        </w:rPr>
        <w:t>. Each Relevant Party is duly organized, validly existing and in good standing under the laws of the jurisdiction of its organization, has all requisite power and authority, and has all material governmental licenses, authorizations, consents and approvals necessary, to own its assets and to carry on its business as now conducted, and, except where the failure to do so, individually or in the aggregate, could not reasonably be expected to</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16" w:name="page117"/>
    <w:bookmarkEnd w:id="116"/>
    <w:p>
      <w:pPr>
        <w:ind w:right="1259"/>
        <w:spacing w:after="0" w:line="258" w:lineRule="auto"/>
        <w:rPr>
          <w:sz w:val="20"/>
          <w:szCs w:val="20"/>
          <w:color w:val="auto"/>
        </w:rPr>
      </w:pPr>
      <w:r>
        <w:rPr>
          <w:rFonts w:ascii="Times New Roman" w:cs="Times New Roman" w:eastAsia="Times New Roman" w:hAnsi="Times New Roman"/>
          <w:sz w:val="22"/>
          <w:szCs w:val="22"/>
          <w:color w:val="auto"/>
        </w:rPr>
        <w:t>result in a Material Adverse Effect, is qualified to do business in, and is in good standing in, every jurisdiction where such qualification is required.</w:t>
      </w:r>
    </w:p>
    <w:p>
      <w:pPr>
        <w:spacing w:after="0" w:line="158"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Authority; Enforceability</w:t>
      </w:r>
      <w:r>
        <w:rPr>
          <w:rFonts w:ascii="Times New Roman" w:cs="Times New Roman" w:eastAsia="Times New Roman" w:hAnsi="Times New Roman"/>
          <w:sz w:val="22"/>
          <w:szCs w:val="22"/>
          <w:color w:val="auto"/>
        </w:rPr>
        <w:t>. The Transactions are within each Loan Party’s corporate, limited liability company, or partnership powers and have been duly authorized by all necessary corporate, limited liability company, or partnership action and, if required, action by any holders of its Equity Interests. Each Loan Document to which a Loan Party is a party has been duly executed and delivered by such Loan Party and constitutes a legal, valid and binding obligation of such Loan Party enforceable in accordance with its terms, subject to applicable Debtor Relief Laws or other laws affecting creditors’ rights generally and subject to general principles of equity, regardless of whether considered in a proceeding in equity or at law.</w:t>
      </w:r>
    </w:p>
    <w:p>
      <w:pPr>
        <w:spacing w:after="0" w:line="178" w:lineRule="exact"/>
        <w:rPr>
          <w:sz w:val="20"/>
          <w:szCs w:val="20"/>
          <w:color w:val="auto"/>
        </w:rPr>
      </w:pPr>
    </w:p>
    <w:p>
      <w:pPr>
        <w:jc w:val="both"/>
        <w:ind w:right="399" w:firstLine="747"/>
        <w:spacing w:after="0" w:line="232"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Approvals; No Conflicts</w:t>
      </w:r>
      <w:r>
        <w:rPr>
          <w:rFonts w:ascii="Times New Roman" w:cs="Times New Roman" w:eastAsia="Times New Roman" w:hAnsi="Times New Roman"/>
          <w:sz w:val="22"/>
          <w:szCs w:val="22"/>
          <w:color w:val="auto"/>
        </w:rPr>
        <w:t>. The Transactions (a) do not require any consent or approval of, registration or filing with, or any other action by, any Governmental Authority or any other third Person (including shareholders or any class of directors, whether interested or disinterested, of the Borrower or any other Person), nor is any such consent, approval, registration, filing or other action necessary for the validity or enforceability of any Loan Document or the consummation of the transactions contemplated thereby, except such as have been obtained or made and are in full force and effect other than (i) the recording and filing of the Security Instruments as required by this Agreement and (ii) those third party approvals or consents which, if not made or obtained, would not cause a Default hereunder, would not reasonably be expected to have a Material Adverse Effect or do not have an adverse effect on the enforceability of the Loan Documents, (b) will not violate any applicable law or the Organization Documents of any Loan Party or any order of any Governmental Authority, (c) will not violate or result in a default under any Material Contract, indenture, agreement governing any Material Indebtedness or other similar instrument binding upon the Borrower or any Restricted Subsidiary or their Properties, or give rise to a right thereunder to require any payment to be made by the Borrower or any Restricted Subsidiary and (d) will not result in the creation or imposition of any Lien on any Property of the Borrower or any Restricted Subsidiary (other than the Liens created by the Loan Documents).</w:t>
      </w:r>
    </w:p>
    <w:p>
      <w:pPr>
        <w:spacing w:after="0" w:line="191"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7.04</w:t>
      </w:r>
      <w:r>
        <w:rPr>
          <w:sz w:val="20"/>
          <w:szCs w:val="20"/>
          <w:color w:val="auto"/>
        </w:rPr>
        <w:tab/>
      </w:r>
      <w:r>
        <w:rPr>
          <w:rFonts w:ascii="Times New Roman" w:cs="Times New Roman" w:eastAsia="Times New Roman" w:hAnsi="Times New Roman"/>
          <w:sz w:val="21"/>
          <w:szCs w:val="21"/>
          <w:u w:val="single" w:color="auto"/>
          <w:color w:val="auto"/>
        </w:rPr>
        <w:t>Financial Condition; No Material Adverse Effect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(a)The Borrower has heretofore furnished to the Lenders copies of an audited consolidated balance sheet and related statements of income or operations, owners’ equity and cash flows of the Borrower as of the fiscal year ended December 31, 2024 and an unaudited consolidated balance sheet and related statements of income or operations, owners’ equity and cash flows of the Borrower for the fiscal quarter ended September 30, 2025 (collectively, the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right="419" w:firstLine="1498"/>
        <w:spacing w:after="0" w:line="258" w:lineRule="auto"/>
        <w:rPr>
          <w:sz w:val="20"/>
          <w:szCs w:val="20"/>
          <w:color w:val="auto"/>
        </w:rPr>
      </w:pPr>
      <w:r>
        <w:rPr>
          <w:rFonts w:ascii="Times New Roman" w:cs="Times New Roman" w:eastAsia="Times New Roman" w:hAnsi="Times New Roman"/>
          <w:sz w:val="22"/>
          <w:szCs w:val="22"/>
          <w:color w:val="auto"/>
        </w:rPr>
        <w:t>(b)Since December 31, 2024, there has been no event, development or circumstance that has had or would reasonably be expected to have a Material Adverse Effect.</w:t>
      </w:r>
    </w:p>
    <w:p>
      <w:pPr>
        <w:spacing w:after="0" w:line="158"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(c)Neither the Borrower nor any Restricted Subsidiary has (i) any material Indebtedness (including Disqualified Equity Interests), except as referred to or reflected or provided for in the Financial Statements, or (ii) any material contingent liabilities, material off-balance sheet liabilities or partnerships, liabilities for past-due taxes, unusual forward or long-term commitments or unrealized or anticipated losses from any unfavorable commitments, incurred</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17" w:name="page118"/>
    <w:bookmarkEnd w:id="117"/>
    <w:p>
      <w:pPr>
        <w:ind w:right="1519"/>
        <w:spacing w:after="0" w:line="258" w:lineRule="auto"/>
        <w:rPr>
          <w:sz w:val="20"/>
          <w:szCs w:val="20"/>
          <w:color w:val="auto"/>
        </w:rPr>
      </w:pPr>
      <w:r>
        <w:rPr>
          <w:rFonts w:ascii="Times New Roman" w:cs="Times New Roman" w:eastAsia="Times New Roman" w:hAnsi="Times New Roman"/>
          <w:sz w:val="22"/>
          <w:szCs w:val="22"/>
          <w:color w:val="auto"/>
        </w:rPr>
        <w:t>outside the ordinary course of the Borrower’s or any Restricted Subsidiary’s business except as reflected or provided for in the Financial Statements, including the footnotes thereto.</w:t>
      </w:r>
    </w:p>
    <w:p>
      <w:pPr>
        <w:spacing w:after="0" w:line="158" w:lineRule="exact"/>
        <w:rPr>
          <w:sz w:val="20"/>
          <w:szCs w:val="20"/>
          <w:color w:val="auto"/>
        </w:rPr>
      </w:pPr>
    </w:p>
    <w:p>
      <w:pPr>
        <w:ind w:right="399" w:firstLine="1498"/>
        <w:spacing w:after="0" w:line="241" w:lineRule="auto"/>
        <w:rPr>
          <w:sz w:val="20"/>
          <w:szCs w:val="20"/>
          <w:color w:val="auto"/>
        </w:rPr>
      </w:pPr>
      <w:r>
        <w:rPr>
          <w:rFonts w:ascii="Times New Roman" w:cs="Times New Roman" w:eastAsia="Times New Roman" w:hAnsi="Times New Roman"/>
          <w:sz w:val="22"/>
          <w:szCs w:val="22"/>
          <w:color w:val="auto"/>
        </w:rPr>
        <w:t xml:space="preserve">(d)All balance sheets, all statements of income and of cash flows and all other financial information of the Borrower and Subsidiaries furnished pursuant to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and</w:t>
      </w:r>
    </w:p>
    <w:p>
      <w:pPr>
        <w:spacing w:after="0" w:line="2" w:lineRule="exact"/>
        <w:rPr>
          <w:sz w:val="20"/>
          <w:szCs w:val="20"/>
          <w:color w:val="auto"/>
        </w:rPr>
      </w:pPr>
    </w:p>
    <w:p>
      <w:pPr>
        <w:jc w:val="both"/>
        <w:ind w:right="399" w:firstLine="2"/>
        <w:spacing w:after="0" w:line="233" w:lineRule="auto"/>
        <w:tabs>
          <w:tab w:leader="none" w:pos="338" w:val="left"/>
        </w:tabs>
        <w:numPr>
          <w:ilvl w:val="0"/>
          <w:numId w:val="8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have been and will for periods following the Effective Date be prepared in accordance with GAAP consistently applied with the financial statements referred to in </w:t>
      </w:r>
      <w:r>
        <w:rPr>
          <w:rFonts w:ascii="Times New Roman" w:cs="Times New Roman" w:eastAsia="Times New Roman" w:hAnsi="Times New Roman"/>
          <w:sz w:val="22"/>
          <w:szCs w:val="22"/>
          <w:u w:val="single" w:color="auto"/>
          <w:color w:val="auto"/>
        </w:rPr>
        <w:t>Section 7.04(a)</w:t>
      </w:r>
      <w:r>
        <w:rPr>
          <w:rFonts w:ascii="Times New Roman" w:cs="Times New Roman" w:eastAsia="Times New Roman" w:hAnsi="Times New Roman"/>
          <w:sz w:val="22"/>
          <w:szCs w:val="22"/>
          <w:color w:val="auto"/>
        </w:rPr>
        <w:t xml:space="preserve"> (except for changes in accounting principles and changes in accounting estimates required by GAAP), and do or will present fairly in all material respects the consolidated financial position of the Persons covered thereby as at the dates thereof and the results of their operations for the periods then ended.</w:t>
      </w:r>
    </w:p>
    <w:p>
      <w:pPr>
        <w:spacing w:after="0" w:line="179"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 xml:space="preserve">Section 7.05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no actions, suits, investigations or proceedings by or before any arbitrator or Governmental Authority, including, without limitation, FERC or any equivalent state regulatory agency, pending against or, to the knowledge of the Borrower, threatened in writing against or affecting the Borrower or any Restricted Subsidiary or any of their Properties (i) not fully covered by insurance (except for normal deductibles) as to which there is a reasonable possibility of an adverse determination that, if adversely determined, would reasonably be expected, individually or in the aggregate, to result in a Material Adverse Effect, or (ii) that challenged the validity or enforceability of any Loan Document or the Transactions.</w:t>
      </w:r>
    </w:p>
    <w:p>
      <w:pPr>
        <w:spacing w:after="0" w:line="178"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 xml:space="preserve">Section 7.06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Except as could not be reasonably expected to have a Material Adverse Effect (or with respect to clauses (c), (d) and (e) below, where the failure to take such actions would not be reasonably expected to have a Material Adverse Effect):</w:t>
      </w:r>
    </w:p>
    <w:p>
      <w:pPr>
        <w:spacing w:after="0" w:line="173"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(a)no Property of the Borrower or any Subsidiary nor the operations conducted thereon violate any Environmental Laws or any order or requirement of any court or Governmental Authority pertaining to environmental matters;</w:t>
      </w:r>
    </w:p>
    <w:p>
      <w:pPr>
        <w:spacing w:after="0" w:line="173"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(b)no Property of the Borrower or any Subsidiary nor the operations currently conducted thereon or, to the knowledge of the Borrower, by any prior owner or operator of such Property or operation, are in violation of or subject to any existing, pending or threatened action, suit, investigation, inquiry or proceeding by or before any court or Governmental Authority or to any remedial obligations under Environmental Laws;</w:t>
      </w:r>
    </w:p>
    <w:p>
      <w:pPr>
        <w:spacing w:after="0" w:line="177" w:lineRule="exact"/>
        <w:rPr>
          <w:sz w:val="20"/>
          <w:szCs w:val="20"/>
          <w:color w:val="auto"/>
        </w:rPr>
      </w:pPr>
    </w:p>
    <w:p>
      <w:pPr>
        <w:jc w:val="both"/>
        <w:ind w:right="399" w:firstLine="1498"/>
        <w:spacing w:after="0" w:line="232" w:lineRule="auto"/>
        <w:rPr>
          <w:sz w:val="20"/>
          <w:szCs w:val="20"/>
          <w:color w:val="auto"/>
        </w:rPr>
      </w:pPr>
      <w:r>
        <w:rPr>
          <w:rFonts w:ascii="Times New Roman" w:cs="Times New Roman" w:eastAsia="Times New Roman" w:hAnsi="Times New Roman"/>
          <w:sz w:val="22"/>
          <w:szCs w:val="22"/>
          <w:color w:val="auto"/>
        </w:rPr>
        <w:t>(c)(i) all notices, permits, licenses, exemptions, approvals or similar authorizations, if any, required to be obtained or filed in connection with the operation or use of any and all Property of the Borrower and each Subsidiary, including past or present treatment, storage, disposal or release of a hazardous substance, oil and gas waste or solid waste into the environment, have been duly obtained or filed, and the Borrower and each Subsidiary is in compliance with the terms and conditions of all such notices, permits, licenses and similar authorizations and (ii) without limiting the generality of the foregoing clause (i), the Borrower and the other Relevant Parties have obtained all Environmental Permits required for their respective operations and each of their Properties, with all such Environmental Permits being currently in full force and effect, and none of the Borrower or the other Relevant Parties has received any written notice or otherwise has knowledge that any such existing Environmental Permit will be revoked or that any application for any new Environmental Permit or renewal of any existing Environmental Permit will be denied;</w:t>
      </w:r>
    </w:p>
    <w:p>
      <w:pPr>
        <w:spacing w:after="0" w:line="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18" w:name="page119"/>
    <w:bookmarkEnd w:id="118"/>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(d)to the knowledge of the Borrower, all hazardous substances, solid waste and oil and gas waste, if any, generated by the Borrower or any Subsidiary (or by any Person under the Borrower or any Subsidiary’s Control) at any and all Property of the Borrower or any Subsidiary have in the past been transported, treated and disposed of in accordance with Environmental Laws and so as not to pose an imminent and substantial endangerment to public health or welfare or the environment, and, in transporting, treating or disposing of the same all such transport carriers and treatment and disposal facilities have been and are operating in compliance with Environmental Laws and so as not to pose an imminent and substantial endangerment to public health or welfare or the environment, and are not the subject of any existing, pending or threatened action, investigation or inquiry by any Governmental Authority in connection with any Environmental Laws;</w:t>
      </w:r>
    </w:p>
    <w:p>
      <w:pPr>
        <w:spacing w:after="0" w:line="179"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(e)(i) the Borrower has taken all steps reasonably necessary to determine and has determined that no oil, hazardous substances, solid waste or oil and gas waste, have been disposed of or otherwise released and (ii) there has been no threatened release of any oil, hazardous substances, solid waste or oil and gas waste on or to any Property of the Borrower or any Subsidiary except, in the case of clauses (i) and (ii), in compliance with Environmental Laws and so as not to pose an imminent and substantial endangerment to public health or welfare or the environment;</w:t>
      </w:r>
    </w:p>
    <w:p>
      <w:pPr>
        <w:spacing w:after="0" w:line="181"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(f)to the extent applicable, all Property of the Borrower and each Subsidiary currently satisfies all design, operation, and equipment requirements imposed by the OPA, and the Borrower does not have any reason to believe that such Property, to the extent subject to the OPA, will not be able to maintain compliance with the OPA requirements during the term of this Agreement;</w:t>
      </w:r>
    </w:p>
    <w:p>
      <w:pPr>
        <w:spacing w:after="0" w:line="180"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(g)neither the Borrower nor any Subsidiary has any known contingent liability or Remedial Work obligation in connection with any release or threatened release of any oil, hazardous substance, solid waste or oil and gas waste into the environment; and</w:t>
      </w:r>
    </w:p>
    <w:p>
      <w:pPr>
        <w:spacing w:after="0" w:line="173" w:lineRule="exact"/>
        <w:rPr>
          <w:sz w:val="20"/>
          <w:szCs w:val="20"/>
          <w:color w:val="auto"/>
        </w:rPr>
      </w:pPr>
    </w:p>
    <w:p>
      <w:pPr>
        <w:jc w:val="both"/>
        <w:ind w:right="399" w:firstLine="1498"/>
        <w:spacing w:after="0" w:line="248" w:lineRule="auto"/>
        <w:rPr>
          <w:sz w:val="20"/>
          <w:szCs w:val="20"/>
          <w:color w:val="auto"/>
        </w:rPr>
      </w:pPr>
      <w:r>
        <w:rPr>
          <w:rFonts w:ascii="Times New Roman" w:cs="Times New Roman" w:eastAsia="Times New Roman" w:hAnsi="Times New Roman"/>
          <w:sz w:val="21"/>
          <w:szCs w:val="21"/>
          <w:color w:val="auto"/>
        </w:rPr>
        <w:t>(h)to the extent reasonably requested by the Administrative Agent in writing (including email), the Borrower has provided, or has caused the other Relevant Parties to provide, to the Administrative Agent complete and correct copies of all material and written environmental site assessment reports, investigations, studies, and analyses and substantial correspondence on material environmental matters (including matters relating to any alleged non-compliance with or liability under Environmental Laws) relating to Relevant Parties’ respective Properties or operations thereon that were in any of the Borrower’s or the other Relevant Parties’ possession or reasonable control on or prior to the Effective Date.</w:t>
      </w:r>
    </w:p>
    <w:p>
      <w:pPr>
        <w:spacing w:after="0" w:line="170"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7.07</w:t>
      </w:r>
      <w:r>
        <w:rPr>
          <w:sz w:val="20"/>
          <w:szCs w:val="20"/>
          <w:color w:val="auto"/>
        </w:rPr>
        <w:tab/>
      </w:r>
      <w:r>
        <w:rPr>
          <w:rFonts w:ascii="Times New Roman" w:cs="Times New Roman" w:eastAsia="Times New Roman" w:hAnsi="Times New Roman"/>
          <w:sz w:val="21"/>
          <w:szCs w:val="21"/>
          <w:u w:val="single" w:color="auto"/>
          <w:color w:val="auto"/>
        </w:rPr>
        <w:t>Compliance with the Laws and Agreements; No Defaults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(a)Each of the Borrower and its Subsidiaries is in compliance in all material respects with all Governmental Requirements applicable to it or its Property. Each of the Borrower and its Subsidiaries is in compliance with all indentures, agreements and other instruments binding upon it or its Property, and possesses all licenses, permits, franchises, exemptions, approvals and other governmental authorizations necessary for the ownership of its Property and the conduct of</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19" w:name="page120"/>
    <w:bookmarkEnd w:id="119"/>
    <w:p>
      <w:pPr>
        <w:ind w:right="1319"/>
        <w:spacing w:after="0" w:line="258" w:lineRule="auto"/>
        <w:rPr>
          <w:sz w:val="20"/>
          <w:szCs w:val="20"/>
          <w:color w:val="auto"/>
        </w:rPr>
      </w:pPr>
      <w:r>
        <w:rPr>
          <w:rFonts w:ascii="Times New Roman" w:cs="Times New Roman" w:eastAsia="Times New Roman" w:hAnsi="Times New Roman"/>
          <w:sz w:val="22"/>
          <w:szCs w:val="22"/>
          <w:color w:val="auto"/>
        </w:rPr>
        <w:t>its business, except where the failure to be or to do so, individually or in the aggregate, would not reasonably be expected to result in a Material Adverse Effect.</w:t>
      </w:r>
    </w:p>
    <w:p>
      <w:pPr>
        <w:spacing w:after="0" w:line="158"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(b)Neither the Borrower nor any other Relevant Party is in default under, nor has any event or circumstance occurred which, but for the expiration of any applicable grace period or the giving of notice, or both, would constitute a default under, or would require the Borrower or any other Relevant Party to Redeem or make any offer to Redeem, any indenture, note, credit agreement or similar instrument pursuant to which any Material Indebtedness is outstanding or by which the Borrower or any other Relevant Party or any of their Properties is bound.</w:t>
      </w:r>
    </w:p>
    <w:p>
      <w:pPr>
        <w:spacing w:after="0" w:line="181" w:lineRule="exact"/>
        <w:rPr>
          <w:sz w:val="20"/>
          <w:szCs w:val="20"/>
          <w:color w:val="auto"/>
        </w:rPr>
      </w:pPr>
    </w:p>
    <w:p>
      <w:pPr>
        <w:ind w:left="2240" w:hanging="740"/>
        <w:spacing w:after="0"/>
        <w:tabs>
          <w:tab w:leader="none" w:pos="22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has occurred and is continuing.</w:t>
      </w:r>
    </w:p>
    <w:p>
      <w:pPr>
        <w:spacing w:after="0" w:line="206"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 xml:space="preserve">Section 7.08 </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Neither the Borrower nor any other Relevant Party is an “investment company” or a company “controlled” by an “investment company,” within the meaning of, or subject to regulation under, the Investment Company Act of 1940, as amended.</w:t>
      </w:r>
    </w:p>
    <w:p>
      <w:pPr>
        <w:spacing w:after="0" w:line="173"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7.09</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(a)The Borrower and each of the other Relevant Parties has timely filed or caused to be filed all federal and other material Tax returns and reports required to have been filed and has paid or caused to be paid all material Taxes required to have been paid by it, except (a) Taxes that are being contested in good faith by appropriate proceedings and for which the Borrower or such Relevant Party, as applicable, has set aside on its books adequate reserves in accordance with GAAP or (b) to the extent that the failure to do so could not reasonably be expected to result in a Material Adverse Effect. The charges, accruals and reserves on the books of the Loan Parties in respect of Taxes and other governmental charges are, in the reasonable opinion of the Borrower, adequate.</w:t>
      </w:r>
    </w:p>
    <w:p>
      <w:pPr>
        <w:spacing w:after="0" w:line="178"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(b)No Tax Lien has been filed (other than Permitted Encumbrances described in clause (a) of the definition thereof).</w:t>
      </w:r>
    </w:p>
    <w:p>
      <w:pPr>
        <w:spacing w:after="0" w:line="158"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(c)To the knowledge of the Borrower or any other Relevant Party, no claim is being asserted against the Borrower, any of the other Relevant Parties, or any of their respective Properties with respect to any such Tax or other such governmental charge, in each case, which could reasonably be expected to result in a Material Adverse Effect.</w:t>
      </w:r>
    </w:p>
    <w:p>
      <w:pPr>
        <w:spacing w:after="0" w:line="180"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7.10</w:t>
      </w:r>
      <w:r>
        <w:rPr>
          <w:sz w:val="20"/>
          <w:szCs w:val="20"/>
          <w:color w:val="auto"/>
        </w:rPr>
        <w:tab/>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419" w:firstLine="1498"/>
        <w:spacing w:after="0" w:line="258" w:lineRule="auto"/>
        <w:rPr>
          <w:sz w:val="20"/>
          <w:szCs w:val="20"/>
          <w:color w:val="auto"/>
        </w:rPr>
      </w:pPr>
      <w:r>
        <w:rPr>
          <w:rFonts w:ascii="Times New Roman" w:cs="Times New Roman" w:eastAsia="Times New Roman" w:hAnsi="Times New Roman"/>
          <w:sz w:val="22"/>
          <w:szCs w:val="22"/>
          <w:color w:val="auto"/>
        </w:rPr>
        <w:t>(a)The Loan Parties and each ERISA Affiliate have complied in all material respects with ERISA and, where applicable, the Code regarding each Plan.</w:t>
      </w:r>
    </w:p>
    <w:p>
      <w:pPr>
        <w:spacing w:after="0" w:line="158"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(b)Each Plan is, and has been, maintained in substantial compliance with ERISA and, where applicable, the Code.</w:t>
      </w:r>
    </w:p>
    <w:p>
      <w:pPr>
        <w:spacing w:after="0" w:line="158"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(c)Except as would not reasonably be expected to have a Material Adverse Effect, no act, omission or transaction has occurred which could reasonably be expected to result in imposition on any Loan Party or any ERISA Affiliate (whether directly or indirectly) of (i) either a civil penalty assessed pursuant to subsections (c), (i) or (l) of section 502 of ERISA or a tax</w:t>
      </w:r>
    </w:p>
    <w:p>
      <w:pPr>
        <w:spacing w:after="0" w:line="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20" w:name="page121"/>
    <w:bookmarkEnd w:id="120"/>
    <w:p>
      <w:pPr>
        <w:ind w:right="539"/>
        <w:spacing w:after="0" w:line="258" w:lineRule="auto"/>
        <w:rPr>
          <w:sz w:val="20"/>
          <w:szCs w:val="20"/>
          <w:color w:val="auto"/>
        </w:rPr>
      </w:pPr>
      <w:r>
        <w:rPr>
          <w:rFonts w:ascii="Times New Roman" w:cs="Times New Roman" w:eastAsia="Times New Roman" w:hAnsi="Times New Roman"/>
          <w:sz w:val="22"/>
          <w:szCs w:val="22"/>
          <w:color w:val="auto"/>
        </w:rPr>
        <w:t>imposed pursuant to Chapter 43 of Subtitle D of the Code or (ii) breach of fiduciary duty liability damages under section 409 of ERISA.</w:t>
      </w:r>
    </w:p>
    <w:p>
      <w:pPr>
        <w:spacing w:after="0" w:line="158"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(d)No Plan (other than a defined contribution plan) or any trust created under any such Plan has been terminated since September 2, 1974. No liability to the PBGC (other than for the payment of current premiums which are not past due) by any Loan Party or any ERISA Affiliate has been or is expected by any Loan Party or any ERISA Affiliate to be incurred with respect to any Plan. No ERISA Event with respect to any Plan has occurred.</w:t>
      </w:r>
    </w:p>
    <w:p>
      <w:pPr>
        <w:spacing w:after="0" w:line="177"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(e)Full payment when due has been made of all amounts which any Loan Party or any ERISA Affiliate is required under the terms of each Plan or applicable law to have paid as contributions to such Plan as of the date hereof, and, as of the most recent valuation date for any Plan, the funding target attainment percentage (as defined in Section 430(d)(2) of the Code) is 80% or higher.</w:t>
      </w:r>
    </w:p>
    <w:p>
      <w:pPr>
        <w:spacing w:after="0" w:line="180" w:lineRule="exact"/>
        <w:rPr>
          <w:sz w:val="20"/>
          <w:szCs w:val="20"/>
          <w:color w:val="auto"/>
        </w:rPr>
      </w:pPr>
    </w:p>
    <w:p>
      <w:pPr>
        <w:jc w:val="both"/>
        <w:ind w:right="379" w:firstLine="1497"/>
        <w:spacing w:after="0" w:line="235" w:lineRule="auto"/>
        <w:rPr>
          <w:sz w:val="20"/>
          <w:szCs w:val="20"/>
          <w:color w:val="auto"/>
        </w:rPr>
      </w:pPr>
      <w:r>
        <w:rPr>
          <w:rFonts w:ascii="Times New Roman" w:cs="Times New Roman" w:eastAsia="Times New Roman" w:hAnsi="Times New Roman"/>
          <w:sz w:val="22"/>
          <w:szCs w:val="22"/>
          <w:color w:val="auto"/>
        </w:rPr>
        <w:t>(f)Except as would not reasonably be expected to result in a Material Adverse Effect, the actuarial present value of the benefit liabilities (based on the assumptions used for purposes of Financial Accounting Standards Board (FASB) Accounting Standards Codification (ASC) Topic No. 715) under each Plan which is subject to Title IV of ERISA does not, as of the end of the Borrower’s most recently ended fiscal year, exceed the current value of the assets (computed on a plan termination basis in accordance with Title IV of ERISA) of such Plan allocable to such benefit liabilities. The term “</w:t>
      </w:r>
      <w:r>
        <w:rPr>
          <w:rFonts w:ascii="Times New Roman" w:cs="Times New Roman" w:eastAsia="Times New Roman" w:hAnsi="Times New Roman"/>
          <w:sz w:val="22"/>
          <w:szCs w:val="22"/>
          <w:u w:val="single" w:color="auto"/>
          <w:color w:val="auto"/>
        </w:rPr>
        <w:t>actuarial present value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benefit liabilities</w:t>
      </w:r>
      <w:r>
        <w:rPr>
          <w:rFonts w:ascii="Times New Roman" w:cs="Times New Roman" w:eastAsia="Times New Roman" w:hAnsi="Times New Roman"/>
          <w:sz w:val="22"/>
          <w:szCs w:val="22"/>
          <w:color w:val="auto"/>
        </w:rPr>
        <w:t>” shall have the meaning specified in section 4041 of ERISA.</w:t>
      </w:r>
    </w:p>
    <w:p>
      <w:pPr>
        <w:spacing w:after="0" w:line="183" w:lineRule="exact"/>
        <w:rPr>
          <w:sz w:val="20"/>
          <w:szCs w:val="20"/>
          <w:color w:val="auto"/>
        </w:rPr>
      </w:pPr>
    </w:p>
    <w:p>
      <w:pPr>
        <w:jc w:val="both"/>
        <w:ind w:right="399" w:firstLine="1498"/>
        <w:spacing w:after="0" w:line="255" w:lineRule="auto"/>
        <w:rPr>
          <w:sz w:val="20"/>
          <w:szCs w:val="20"/>
          <w:color w:val="auto"/>
        </w:rPr>
      </w:pPr>
      <w:r>
        <w:rPr>
          <w:rFonts w:ascii="Times New Roman" w:cs="Times New Roman" w:eastAsia="Times New Roman" w:hAnsi="Times New Roman"/>
          <w:sz w:val="21"/>
          <w:szCs w:val="21"/>
          <w:color w:val="auto"/>
        </w:rPr>
        <w:t>(g)Neither any Loan Party nor any ERISA Affiliate sponsors, maintains, or contributes to an employee welfare benefit plan, as defined in section 3(1) of ERISA, including, without limitation, any such plan maintained to provide benefits to former employees of such entities, that may not be terminated by any Loan Party or any ERISA Affiliate in its sole discretion at any time without any material liability.</w:t>
      </w:r>
    </w:p>
    <w:p>
      <w:pPr>
        <w:spacing w:after="0" w:line="162"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(h)Neither any Loan Party nor any ERISA Affiliate sponsors, maintains or contributes to, or has at any time in the six-year period preceding the date hereof sponsored, maintained or contributed to, any Multiemployer Plan.</w:t>
      </w:r>
    </w:p>
    <w:p>
      <w:pPr>
        <w:spacing w:after="0" w:line="173"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(i)Neither any Loan Party nor any ERISA Affiliate is required to provide security under section 436(f) of the Code due to a Plan amendment that results in an increase in current liability for the Plan.</w:t>
      </w:r>
    </w:p>
    <w:p>
      <w:pPr>
        <w:spacing w:after="0" w:line="173" w:lineRule="exact"/>
        <w:rPr>
          <w:sz w:val="20"/>
          <w:szCs w:val="20"/>
          <w:color w:val="auto"/>
        </w:rPr>
      </w:pPr>
    </w:p>
    <w:p>
      <w:pPr>
        <w:jc w:val="both"/>
        <w:ind w:right="399" w:firstLine="747"/>
        <w:spacing w:after="0" w:line="233"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Disclosure; No Material Misstatements</w:t>
      </w:r>
      <w:r>
        <w:rPr>
          <w:rFonts w:ascii="Times New Roman" w:cs="Times New Roman" w:eastAsia="Times New Roman" w:hAnsi="Times New Roman"/>
          <w:sz w:val="22"/>
          <w:szCs w:val="22"/>
          <w:color w:val="auto"/>
        </w:rPr>
        <w:t>. The Borrower has disclosed to the Administrative Agent and the Lenders all agreements, instruments and corporate or other restrictions to which any of the Relevant Parties are subject, and all other matters known to them (other than matters relating to general political, economic or industry conditions or events that similarly impact similarly situated businesses engaged in the ownership and operation of Midstream Properties), that, individually or in the aggregate, would reasonably be expected to result in a Material Adverse Effect. The Financial Statements and all of the other reports, financial statements, certificates and other written information (other than forward-looking information, projections and information of a general economic or industry specific nature) furnished by or on</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21" w:name="page122"/>
    <w:bookmarkEnd w:id="121"/>
    <w:p>
      <w:pPr>
        <w:jc w:val="both"/>
        <w:ind w:right="399"/>
        <w:spacing w:after="0" w:line="243" w:lineRule="auto"/>
        <w:rPr>
          <w:sz w:val="20"/>
          <w:szCs w:val="20"/>
          <w:color w:val="auto"/>
        </w:rPr>
      </w:pPr>
      <w:r>
        <w:rPr>
          <w:rFonts w:ascii="Times New Roman" w:cs="Times New Roman" w:eastAsia="Times New Roman" w:hAnsi="Times New Roman"/>
          <w:sz w:val="21"/>
          <w:szCs w:val="21"/>
          <w:color w:val="auto"/>
        </w:rPr>
        <w:t xml:space="preserve">behalf of the Borrower or any other Relevant Party to the Administrative Agent or any Lender or any of their Affiliates in connection with the negotiation of this Agreement or any other Loan Document or delivered hereunder or under any other Loan Document (as modified or supplemented by other information so furnished), including, without limitation, any such information so furnished to permit the Lenders to comply with the PATRIOT Act, taken as a whole, do not contain any material misstatement of fact or omit to state any material fact necessary to make the statements therein, in the light of the circumstances under which they were made, not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financial models, projected financial information, prospect information, budgets, pro forma financial information, estimated financial information, projected Hydrocarbon supply and throughput, geological and geophysical data and engineering projections other estimates and any information of a general economic nature or general industry nature, the Borrower represents only that such information was prepared in good faith based upon assumptions believed by the Borrower to be reasonable at the time of preparation, it being recognized by the Administrative Agent and the Lenders that (i) such projections, estimates, financial models, projected financial information and projected Hydrocarbon supply and throughput are as to future events and are not to be viewed as facts, (ii) such projections, estimates, financial models, projected financial information and projected Hydrocarbon supply and throughput are subject to significant uncertainties and contingencies, many of which are beyond the control of the Loan Parties, (iii) no assurance can be given that any particular projections, estimates, financial models, projected financial information and projected Hydrocarbon supply and throughput will be realized and (iv) actual results during the period or periods covered by any such projections, estimates, financial models, projected financial information and projected Hydrocarbon supply and throughput may differ from the projected results and such differences may be material. As of the Effective Date, there is no known fact peculiar to the Borrower or any other Relevant Party that would reasonably be expected to result in a Material Adverse Effect and that has not been set forth in this Agreement or the Loan Documents or the other documents, certificates and statements furnished to the Administrative Agent or the Lenders by or on behalf of the Borrower or any other Relevant Party prior to, or on, the date hereof in connection with the transactions contemplated hereby.</w:t>
      </w:r>
    </w:p>
    <w:p>
      <w:pPr>
        <w:spacing w:after="0" w:line="200" w:lineRule="exact"/>
        <w:rPr>
          <w:sz w:val="20"/>
          <w:szCs w:val="20"/>
          <w:color w:val="auto"/>
        </w:rPr>
      </w:pPr>
    </w:p>
    <w:p>
      <w:pPr>
        <w:spacing w:after="0" w:line="221" w:lineRule="exact"/>
        <w:rPr>
          <w:sz w:val="20"/>
          <w:szCs w:val="20"/>
          <w:color w:val="auto"/>
        </w:rPr>
      </w:pPr>
    </w:p>
    <w:p>
      <w:pPr>
        <w:jc w:val="both"/>
        <w:ind w:right="399" w:firstLine="747"/>
        <w:spacing w:after="0" w:line="245" w:lineRule="auto"/>
        <w:rPr>
          <w:sz w:val="20"/>
          <w:szCs w:val="20"/>
          <w:color w:val="auto"/>
        </w:rPr>
      </w:pPr>
      <w:r>
        <w:rPr>
          <w:rFonts w:ascii="Times New Roman" w:cs="Times New Roman" w:eastAsia="Times New Roman" w:hAnsi="Times New Roman"/>
          <w:sz w:val="21"/>
          <w:szCs w:val="21"/>
          <w:color w:val="auto"/>
        </w:rPr>
        <w:t xml:space="preserve">Section 7.12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xml:space="preserve">. Each Relevant Party has (a) all insurance policies sufficient for the compliance by it with all material Governmental Requirements and all material agreements and (b) insurance coverage in at least amounts and against such risk (including public liability) that are usually insured against by companies similarly situated and of comparable size and engaged in the same or a similar business for the assets and operations of such Relevant Party. The Administrative Agent has been named as an additional insured in respect of such liability insurance policies and the Administrative Agent has been named as lender loss payee with respect to Property loss insurance. No Loan Party owns any Building or material Manufactured (Mobile) Home, in either case subject to a Mortgage, for which such Loan Party has not delivered to the Administrative Agent evidence or confirmation reasonably satisfactory to the Administrative Agent in accordance with the terms of this Agreement that (a) such Loan Party maintains Flood Insurance for such Building or Manufactured (Mobile) Home in accordance with </w:t>
      </w:r>
      <w:r>
        <w:rPr>
          <w:rFonts w:ascii="Times New Roman" w:cs="Times New Roman" w:eastAsia="Times New Roman" w:hAnsi="Times New Roman"/>
          <w:sz w:val="21"/>
          <w:szCs w:val="21"/>
          <w:u w:val="single" w:color="auto"/>
          <w:color w:val="auto"/>
        </w:rPr>
        <w:t>Section 8.07(b)</w:t>
      </w:r>
      <w:r>
        <w:rPr>
          <w:rFonts w:ascii="Times New Roman" w:cs="Times New Roman" w:eastAsia="Times New Roman" w:hAnsi="Times New Roman"/>
          <w:sz w:val="21"/>
          <w:szCs w:val="21"/>
          <w:color w:val="auto"/>
        </w:rPr>
        <w:t xml:space="preserve"> or (b) such Building or Manufactured (Mobile) Home is not located in a Special Flood Hazard Area.</w:t>
      </w:r>
    </w:p>
    <w:p>
      <w:pPr>
        <w:spacing w:after="0" w:line="174" w:lineRule="exact"/>
        <w:rPr>
          <w:sz w:val="20"/>
          <w:szCs w:val="20"/>
          <w:color w:val="auto"/>
        </w:rPr>
      </w:pPr>
    </w:p>
    <w:p>
      <w:pPr>
        <w:ind w:right="1119" w:firstLine="747"/>
        <w:spacing w:after="0" w:line="243" w:lineRule="auto"/>
        <w:rPr>
          <w:sz w:val="20"/>
          <w:szCs w:val="20"/>
          <w:color w:val="auto"/>
        </w:rPr>
      </w:pPr>
      <w:r>
        <w:rPr>
          <w:rFonts w:ascii="Times New Roman" w:cs="Times New Roman" w:eastAsia="Times New Roman" w:hAnsi="Times New Roman"/>
          <w:sz w:val="22"/>
          <w:szCs w:val="22"/>
          <w:color w:val="auto"/>
        </w:rPr>
        <w:t xml:space="preserve">Section 7.13 </w:t>
      </w:r>
      <w:r>
        <w:rPr>
          <w:rFonts w:ascii="Times New Roman" w:cs="Times New Roman" w:eastAsia="Times New Roman" w:hAnsi="Times New Roman"/>
          <w:sz w:val="22"/>
          <w:szCs w:val="22"/>
          <w:u w:val="single" w:color="auto"/>
          <w:color w:val="auto"/>
        </w:rPr>
        <w:t>Restrictions on Liens</w:t>
      </w:r>
      <w:r>
        <w:rPr>
          <w:rFonts w:ascii="Times New Roman" w:cs="Times New Roman" w:eastAsia="Times New Roman" w:hAnsi="Times New Roman"/>
          <w:sz w:val="22"/>
          <w:szCs w:val="22"/>
          <w:color w:val="auto"/>
        </w:rPr>
        <w:t xml:space="preserve">. No Loan Party is a party to any material agreement or arrangement (other than (a) Capital Leases creating Liens permitted by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 but then</w:t>
      </w:r>
    </w:p>
    <w:p>
      <w:pPr>
        <w:ind w:left="5140"/>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22" w:name="page123"/>
    <w:bookmarkEnd w:id="122"/>
    <w:p>
      <w:pPr>
        <w:jc w:val="both"/>
        <w:ind w:right="399"/>
        <w:spacing w:after="0" w:line="235" w:lineRule="auto"/>
        <w:rPr>
          <w:sz w:val="20"/>
          <w:szCs w:val="20"/>
          <w:color w:val="auto"/>
        </w:rPr>
      </w:pPr>
      <w:r>
        <w:rPr>
          <w:rFonts w:ascii="Times New Roman" w:cs="Times New Roman" w:eastAsia="Times New Roman" w:hAnsi="Times New Roman"/>
          <w:sz w:val="22"/>
          <w:szCs w:val="22"/>
          <w:color w:val="auto"/>
        </w:rPr>
        <w:t xml:space="preserve">only on the Property subject of such Capital Lease, (b) documents evidencing or securing Purchase Money Indebtedness creating Liens permitted by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 but then only with respect to the Property that is the subject of such Purchase Money Indebtedness, and (c) documents creating Liens which are described in clauses (g)(i) or (h) of the definition of the term “Excepted Liens”, but then only with respect to the Property that is the subject of the applicable lease or license described in such clause (g)(i) or (h), as applicable), or subject to any order, judgment, writ or decree, which either restricts or purports to restrict its ability to grant Liens to the Administrative Agent for the benefit of the Secured Parties on or in respect of their Properties to secure the Secured Obligations and the Loan Documents.</w:t>
      </w:r>
    </w:p>
    <w:p>
      <w:pPr>
        <w:spacing w:after="0" w:line="178"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 xml:space="preserve">Section 7.14 </w:t>
      </w:r>
      <w:r>
        <w:rPr>
          <w:rFonts w:ascii="Times New Roman" w:cs="Times New Roman" w:eastAsia="Times New Roman" w:hAnsi="Times New Roman"/>
          <w:sz w:val="22"/>
          <w:szCs w:val="22"/>
          <w:u w:val="single" w:color="auto"/>
          <w:color w:val="auto"/>
        </w:rPr>
        <w:t>Subsidiaries; Equity Interests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7.14</w:t>
      </w:r>
      <w:r>
        <w:rPr>
          <w:rFonts w:ascii="Times New Roman" w:cs="Times New Roman" w:eastAsia="Times New Roman" w:hAnsi="Times New Roman"/>
          <w:sz w:val="22"/>
          <w:szCs w:val="22"/>
          <w:color w:val="auto"/>
        </w:rPr>
        <w:t xml:space="preserve"> or as disclosed in writing (which writing shall be deemed to supplement such </w:t>
      </w:r>
      <w:r>
        <w:rPr>
          <w:rFonts w:ascii="Times New Roman" w:cs="Times New Roman" w:eastAsia="Times New Roman" w:hAnsi="Times New Roman"/>
          <w:sz w:val="22"/>
          <w:szCs w:val="22"/>
          <w:u w:val="single" w:color="auto"/>
          <w:color w:val="auto"/>
        </w:rPr>
        <w:t>Schedule 7.14</w:t>
      </w:r>
      <w:r>
        <w:rPr>
          <w:rFonts w:ascii="Times New Roman" w:cs="Times New Roman" w:eastAsia="Times New Roman" w:hAnsi="Times New Roman"/>
          <w:sz w:val="22"/>
          <w:szCs w:val="22"/>
          <w:color w:val="auto"/>
        </w:rPr>
        <w:t>) to the Administrative Agent (who shall promptly furnish a copy to the Lenders), neither the Borrower nor any other Loan Party has any Subsidiaries. No Relevant Party has any Foreign Subsidiaries. All of the outstanding Equity Interests of each Relevant Party and each Subsidiary have been validly issued and have not been issued in violation of any preemptive or similar rights and are fully paid and non-assessable.</w:t>
      </w:r>
    </w:p>
    <w:p>
      <w:pPr>
        <w:spacing w:after="0" w:line="181" w:lineRule="exact"/>
        <w:rPr>
          <w:sz w:val="20"/>
          <w:szCs w:val="20"/>
          <w:color w:val="auto"/>
        </w:rPr>
      </w:pPr>
    </w:p>
    <w:p>
      <w:pPr>
        <w:jc w:val="both"/>
        <w:ind w:right="399" w:firstLine="747"/>
        <w:spacing w:after="0" w:line="232" w:lineRule="auto"/>
        <w:rPr>
          <w:sz w:val="20"/>
          <w:szCs w:val="20"/>
          <w:color w:val="auto"/>
        </w:rPr>
      </w:pPr>
      <w:r>
        <w:rPr>
          <w:rFonts w:ascii="Times New Roman" w:cs="Times New Roman" w:eastAsia="Times New Roman" w:hAnsi="Times New Roman"/>
          <w:sz w:val="22"/>
          <w:szCs w:val="22"/>
          <w:color w:val="auto"/>
        </w:rPr>
        <w:t xml:space="preserve">Section 7.15 </w:t>
      </w:r>
      <w:r>
        <w:rPr>
          <w:rFonts w:ascii="Times New Roman" w:cs="Times New Roman" w:eastAsia="Times New Roman" w:hAnsi="Times New Roman"/>
          <w:sz w:val="22"/>
          <w:szCs w:val="22"/>
          <w:u w:val="single" w:color="auto"/>
          <w:color w:val="auto"/>
        </w:rPr>
        <w:t>Capitalization; Location of Business and Offices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7.15</w:t>
      </w:r>
      <w:r>
        <w:rPr>
          <w:rFonts w:ascii="Times New Roman" w:cs="Times New Roman" w:eastAsia="Times New Roman" w:hAnsi="Times New Roman"/>
          <w:sz w:val="22"/>
          <w:szCs w:val="22"/>
          <w:color w:val="auto"/>
        </w:rPr>
        <w:t xml:space="preserve"> hereto accurately reflects, as of the Effective Date, (a) the jurisdiction of incorporation or organization (if applicable) of the Borrower, the other Loan Parties and their respective Subsidiaries, (b) each jurisdiction in which the Loan Parties are qualified to transact business as a foreign corporation, foreign partnership or foreign limited liability company, (c) the organizational identification number of the Borrower, and each other Relevant Party in its jurisdiction of organization (or, in each case, as set forth in a notice delivered to the Administrative Agent pursuant to </w:t>
      </w:r>
      <w:r>
        <w:rPr>
          <w:rFonts w:ascii="Times New Roman" w:cs="Times New Roman" w:eastAsia="Times New Roman" w:hAnsi="Times New Roman"/>
          <w:sz w:val="22"/>
          <w:szCs w:val="22"/>
          <w:u w:val="single" w:color="auto"/>
          <w:color w:val="auto"/>
        </w:rPr>
        <w:t>Section 8.01(j)</w:t>
      </w:r>
      <w:r>
        <w:rPr>
          <w:rFonts w:ascii="Times New Roman" w:cs="Times New Roman" w:eastAsia="Times New Roman" w:hAnsi="Times New Roman"/>
          <w:sz w:val="22"/>
          <w:szCs w:val="22"/>
          <w:color w:val="auto"/>
        </w:rPr>
        <w:t xml:space="preserve"> in accordance with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(d) the authorized, issued and outstanding Equity Interests of the Loan Parties and their respective Subsidiaries, including the names of (and number of shares or other equity securities held by) the record and beneficial owners of such Equity Interests, and</w:t>
      </w:r>
    </w:p>
    <w:p>
      <w:pPr>
        <w:spacing w:after="0" w:line="9" w:lineRule="exact"/>
        <w:rPr>
          <w:sz w:val="20"/>
          <w:szCs w:val="20"/>
          <w:color w:val="auto"/>
        </w:rPr>
      </w:pPr>
    </w:p>
    <w:p>
      <w:pPr>
        <w:jc w:val="both"/>
        <w:ind w:right="399"/>
        <w:spacing w:after="0" w:line="231" w:lineRule="auto"/>
        <w:rPr>
          <w:sz w:val="20"/>
          <w:szCs w:val="20"/>
          <w:color w:val="auto"/>
        </w:rPr>
      </w:pPr>
      <w:r>
        <w:rPr>
          <w:rFonts w:ascii="Times New Roman" w:cs="Times New Roman" w:eastAsia="Times New Roman" w:hAnsi="Times New Roman"/>
          <w:sz w:val="22"/>
          <w:szCs w:val="22"/>
          <w:color w:val="auto"/>
        </w:rPr>
        <w:t xml:space="preserve">(e)all outstanding warrants, options, subscription rights, convertible securities or other rights to purchase capital stock or limited liability company interests of the Loan Parties and their respective Subsidiaries. Except for the Borrower’s Organization Documents that have been delivered to the Administrative Agent on or prior to the Effective Date (each as in effect on the Effective Date) and as otherwise set forth on </w:t>
      </w:r>
      <w:r>
        <w:rPr>
          <w:rFonts w:ascii="Times New Roman" w:cs="Times New Roman" w:eastAsia="Times New Roman" w:hAnsi="Times New Roman"/>
          <w:sz w:val="22"/>
          <w:szCs w:val="22"/>
          <w:u w:val="single" w:color="auto"/>
          <w:color w:val="auto"/>
        </w:rPr>
        <w:t>Schedule 7.15</w:t>
      </w:r>
      <w:r>
        <w:rPr>
          <w:rFonts w:ascii="Times New Roman" w:cs="Times New Roman" w:eastAsia="Times New Roman" w:hAnsi="Times New Roman"/>
          <w:sz w:val="22"/>
          <w:szCs w:val="22"/>
          <w:color w:val="auto"/>
        </w:rPr>
        <w:t xml:space="preserve"> hereto, there are no outstanding shareholders agreements, voting agreements or other agreements of any nature which in any way restrict or effect the transfer, pledge or voting of any of the Equity Interests of the Borrower or any other Loan Party or any of their respective Subsidiaries or subject any of such Equity Interests to any put, call, redemption obligation or similar right or obligation of any nature. Each Loan Party’s principal place of business and chief executive offices are located at the address specified in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xml:space="preserve"> (or as set forth in a notice delivered pursuant to </w:t>
      </w:r>
      <w:r>
        <w:rPr>
          <w:rFonts w:ascii="Times New Roman" w:cs="Times New Roman" w:eastAsia="Times New Roman" w:hAnsi="Times New Roman"/>
          <w:sz w:val="22"/>
          <w:szCs w:val="22"/>
          <w:u w:val="single" w:color="auto"/>
          <w:color w:val="auto"/>
        </w:rPr>
        <w:t>Section 8.01(j)</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12.01(c)</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7.16</w:t>
      </w:r>
      <w:r>
        <w:rPr>
          <w:sz w:val="20"/>
          <w:szCs w:val="20"/>
          <w:color w:val="auto"/>
        </w:rPr>
        <w:tab/>
      </w:r>
      <w:r>
        <w:rPr>
          <w:rFonts w:ascii="Times New Roman" w:cs="Times New Roman" w:eastAsia="Times New Roman" w:hAnsi="Times New Roman"/>
          <w:sz w:val="21"/>
          <w:szCs w:val="21"/>
          <w:u w:val="single" w:color="auto"/>
          <w:color w:val="auto"/>
        </w:rPr>
        <w:t>Properties; Titles, Etc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(a)The Borrower and each other Relevant Party has good and valid title to, valid leasehold interests in, or valid easements, rights of way or other property interests in all of its real and personal Property free and clear of all Liens except Permitted Liens and except where the failure of the foregoing, individually or in the aggregate, (i) does not interfere with the ordinary</w:t>
      </w:r>
    </w:p>
    <w:p>
      <w:pPr>
        <w:spacing w:after="0" w:line="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23" w:name="page124"/>
    <w:bookmarkEnd w:id="123"/>
    <w:p>
      <w:pPr>
        <w:jc w:val="both"/>
        <w:ind w:right="399"/>
        <w:spacing w:after="0" w:line="244" w:lineRule="auto"/>
        <w:rPr>
          <w:sz w:val="20"/>
          <w:szCs w:val="20"/>
          <w:color w:val="auto"/>
        </w:rPr>
      </w:pPr>
      <w:r>
        <w:rPr>
          <w:rFonts w:ascii="Times New Roman" w:cs="Times New Roman" w:eastAsia="Times New Roman" w:hAnsi="Times New Roman"/>
          <w:sz w:val="22"/>
          <w:szCs w:val="22"/>
          <w:color w:val="auto"/>
        </w:rPr>
        <w:t>conduct of business of any Loan Party or their ability to utilize such Property for its intended purpose, (ii) does not materially detract from the use of the pipelines in the ordinary course of business and (iii) would not reasonably be expected to have a Material Adverse Effect.</w:t>
      </w:r>
    </w:p>
    <w:p>
      <w:pPr>
        <w:spacing w:after="0" w:line="173"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(b)The Gathering Systems are covered by valid and subsisting recorded fee deeds, leases, easements, rights of way, servitudes, permits, licenses and other instruments and agreements (collectively, “</w:t>
      </w:r>
      <w:r>
        <w:rPr>
          <w:rFonts w:ascii="Times New Roman" w:cs="Times New Roman" w:eastAsia="Times New Roman" w:hAnsi="Times New Roman"/>
          <w:sz w:val="22"/>
          <w:szCs w:val="22"/>
          <w:u w:val="single" w:color="auto"/>
          <w:color w:val="auto"/>
        </w:rPr>
        <w:t>Rights of Way</w:t>
      </w:r>
      <w:r>
        <w:rPr>
          <w:rFonts w:ascii="Times New Roman" w:cs="Times New Roman" w:eastAsia="Times New Roman" w:hAnsi="Times New Roman"/>
          <w:sz w:val="22"/>
          <w:szCs w:val="22"/>
          <w:color w:val="auto"/>
        </w:rPr>
        <w:t>”) in favor of the Borrower or any other applicable Relevant Party (or their predecessors in interest) and their respective successors and assigns, except where the failure of the Gathering Systems to be so covered, individually or in the aggregate, (i) does not interfere with the ordinary conduct of business of any Relevant Party,</w:t>
      </w:r>
    </w:p>
    <w:p>
      <w:pPr>
        <w:spacing w:after="0" w:line="2" w:lineRule="exact"/>
        <w:rPr>
          <w:sz w:val="20"/>
          <w:szCs w:val="20"/>
          <w:color w:val="auto"/>
        </w:rPr>
      </w:pPr>
    </w:p>
    <w:p>
      <w:pPr>
        <w:ind w:right="399" w:firstLine="2"/>
        <w:spacing w:after="0" w:line="237" w:lineRule="auto"/>
        <w:tabs>
          <w:tab w:leader="none" w:pos="3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materially detract from the value or the use of the portion of the Gathering Systems that are not covered and (iii) would not reasonably be expected to result in a Material Adverse Effect.</w:t>
      </w:r>
    </w:p>
    <w:p>
      <w:pPr>
        <w:spacing w:after="0" w:line="178"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 xml:space="preserve">(c)The Rights of Way establish a contiguous and continuous right of way for the Gathering Systems and grant the Borrower or any other applicable Relevant Party (or their predecessors in interest) the right to construct, operate, and maintain the Gathering Systems in, over, under, or across the land covered thereby in the same way that a reasonably prudent owner and operator would inspect, operate, repair, and maintain similar Property and in the same way as the applicable Relevant Parties have inspected, operated, repaired, and maintained the Gathering Systems as reflected in the Financial Statements;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(i) some of the Rights of Way granted to the Relevant Parties (or their predecessors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interest) by private parties and Governmental Authorities are revocable at the right of the applicable grantor, (ii) some of the Rights of Way cross properties that are subject to liens in favor of third parties that have not been subordinated to the Rights of Way; and (iii) some Rights of Way are subject to certain defects, limitations and restrictions;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none of the limitations, defects, and restrictions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above, individually or in the aggregate, (A) materially interfere with the ordinary conduct of business of any Relevant Party, (B) materially detract from the value or the use of the portion of the Gathering Systems that is covered or (C) could reasonably be expected to have a Material Adverse Effect.</w:t>
      </w:r>
    </w:p>
    <w:p>
      <w:pPr>
        <w:spacing w:after="0" w:line="177"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(d)Each Processing Plant is located on lands covered by fee deeds, real Property leases, or other instruments (collectively “</w:t>
      </w:r>
      <w:r>
        <w:rPr>
          <w:rFonts w:ascii="Times New Roman" w:cs="Times New Roman" w:eastAsia="Times New Roman" w:hAnsi="Times New Roman"/>
          <w:sz w:val="22"/>
          <w:szCs w:val="22"/>
          <w:u w:val="single" w:color="auto"/>
          <w:color w:val="auto"/>
        </w:rPr>
        <w:t>Deeds</w:t>
      </w:r>
      <w:r>
        <w:rPr>
          <w:rFonts w:ascii="Times New Roman" w:cs="Times New Roman" w:eastAsia="Times New Roman" w:hAnsi="Times New Roman"/>
          <w:sz w:val="22"/>
          <w:szCs w:val="22"/>
          <w:color w:val="auto"/>
        </w:rPr>
        <w:t>”) in favor of the Borrower or any other applicable Relevant Party (or their predecessors in interest) and their respective successors and assigns. The Deeds grant the Borrower or any other applicable Relevant Party (or their predecessors in interest) the right to construct, operate, and maintain the Processing Plant on the land covered thereby in the same way that a reasonably prudent owner and operator would inspect, operate, repair, and maintain similar Property.</w:t>
      </w:r>
    </w:p>
    <w:p>
      <w:pPr>
        <w:spacing w:after="0" w:line="181"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(e)All Rights of Way and all Deeds necessary for the conduct of the business of the Borrower and the other Relevant Parties are valid and subsisting, in full force and effect, and there exists no breach, default or event or circumstance that, with the giving of notice or the passage of time or both, would give rise to a default under any such Rights of Way or Deeds that would reasonably be expected to result in a Material Adverse Effect. All rental and other payments due under any Rights of Way or Deeds by any Relevant Party (and their predecessors in interest) have been duly paid in accordance with the terms thereof, except to the extent that a failure to do</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24" w:name="page125"/>
    <w:bookmarkEnd w:id="124"/>
    <w:p>
      <w:pPr>
        <w:ind w:right="1019"/>
        <w:spacing w:after="0" w:line="258" w:lineRule="auto"/>
        <w:rPr>
          <w:sz w:val="20"/>
          <w:szCs w:val="20"/>
          <w:color w:val="auto"/>
        </w:rPr>
      </w:pPr>
      <w:r>
        <w:rPr>
          <w:rFonts w:ascii="Times New Roman" w:cs="Times New Roman" w:eastAsia="Times New Roman" w:hAnsi="Times New Roman"/>
          <w:sz w:val="22"/>
          <w:szCs w:val="22"/>
          <w:color w:val="auto"/>
        </w:rPr>
        <w:t>so, individually or in the aggregate, would not reasonably be expected to result in a Material Adverse Effect.</w:t>
      </w:r>
    </w:p>
    <w:p>
      <w:pPr>
        <w:spacing w:after="0" w:line="158"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(f)The rights and Properties presently owned, leased or licensed by the Borrower and the other Relevant Parties including, without limitation, all Rights of Way and Deeds, include all rights and Properties necessary to permit the Borrower and the other Relevant Parties to conduct their businesses in all material respects in substantially the same manner as such businesses have been conducted prior to the date hereof.</w:t>
      </w:r>
    </w:p>
    <w:p>
      <w:pPr>
        <w:spacing w:after="0" w:line="177"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(g)All of the material Properties of the Borrower and the other Relevant Parties that are reasonably necessary for the operation of their businesses are in good working condition (ordinary wear and tear and casualty and condemnation excepted) and are maintained in accordance with prudent business standards, except where failure to do so could not reasonably be expected to have a Material Adverse Effect. Except as would not reasonably be expected to have a Material Adverse Effect, neither the businesses nor the Properties of any of the Relevant Parties is affected in any manner as a result of any fire, explosion, earthquake, flood, drought, windstorm, accident, strike or other labor disturbance, embargo, requisition or taking of Property or cancellation of contracts, permits or concessions by a Governmental Authority, riot, activities of armed forces or acts of God or of any public enemy.</w:t>
      </w:r>
    </w:p>
    <w:p>
      <w:pPr>
        <w:spacing w:after="0" w:line="183"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(h)No eminent domain proceeding or taking has been commenced or, to the knowledge of any of the Relevant Parties, is contemplated with respect to all or any portion of the Midstream Properties, except for that which, individually or in the aggregate, could not reasonably be expected to have a Material Adverse Effect.</w:t>
      </w:r>
    </w:p>
    <w:p>
      <w:pPr>
        <w:spacing w:after="0" w:line="180"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 xml:space="preserve">(i)No portion of the Midstream Properties has, since the date of this Agreement, suffered any material damage by fire or other casualty loss except that which has heretofore been repaired or replaced or is in the process of being repaired or replaced, except for any such loss in respect of which the Borrower has complied with its obligations to make the prepayments required on account of such fire or other casualty loss under </w:t>
      </w:r>
      <w:r>
        <w:rPr>
          <w:rFonts w:ascii="Times New Roman" w:cs="Times New Roman" w:eastAsia="Times New Roman" w:hAnsi="Times New Roman"/>
          <w:sz w:val="22"/>
          <w:szCs w:val="22"/>
          <w:u w:val="single" w:color="auto"/>
          <w:color w:val="auto"/>
        </w:rPr>
        <w:t>Section 3.04(b)(iii)</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(j)The Borrower and each other Relevant Party owns, or is licensed to use, all trademarks, tradenames, copyrights, patents and other intellectual Property material to its business, and the use thereof by the Borrower or such Relevant Party does not infringe upon the rights of any other Person, except for any failure to so own or be licensed to use or any such infringements that, individually or in the aggregate, would not reasonably be expected to result in a Material Adverse Effect.</w:t>
      </w:r>
    </w:p>
    <w:p>
      <w:pPr>
        <w:spacing w:after="0" w:line="177"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 xml:space="preserve">Section 7.17 </w:t>
      </w:r>
      <w:r>
        <w:rPr>
          <w:rFonts w:ascii="Times New Roman" w:cs="Times New Roman" w:eastAsia="Times New Roman" w:hAnsi="Times New Roman"/>
          <w:sz w:val="22"/>
          <w:szCs w:val="22"/>
          <w:u w:val="single" w:color="auto"/>
          <w:color w:val="auto"/>
        </w:rPr>
        <w:t>Maintenance of Properties</w:t>
      </w:r>
      <w:r>
        <w:rPr>
          <w:rFonts w:ascii="Times New Roman" w:cs="Times New Roman" w:eastAsia="Times New Roman" w:hAnsi="Times New Roman"/>
          <w:sz w:val="22"/>
          <w:szCs w:val="22"/>
          <w:color w:val="auto"/>
        </w:rPr>
        <w:t>. Except for such acts or failures to act as could not be reasonably expected to have a Material Adverse Effect, the offices, Processing Plants, Gathering Systems, improvements, fixtures, equipment, and other Property owned, leased or used by the Borrower and each of the other Relevant Parties in the conduct of their businesses are</w:t>
      </w:r>
    </w:p>
    <w:p>
      <w:pPr>
        <w:spacing w:after="0" w:line="1" w:lineRule="exact"/>
        <w:rPr>
          <w:sz w:val="20"/>
          <w:szCs w:val="20"/>
          <w:color w:val="auto"/>
        </w:rPr>
      </w:pPr>
    </w:p>
    <w:p>
      <w:pPr>
        <w:jc w:val="both"/>
        <w:ind w:right="399" w:firstLine="2"/>
        <w:spacing w:after="0" w:line="231" w:lineRule="auto"/>
        <w:tabs>
          <w:tab w:leader="none" w:pos="32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maintained in a state adequate to conduct normal operations, (b) in good operating condition, subject to ordinary wear and tear, and routine maintenance or repair, (c) sufficient for the operation of the businesses of the Borrower and each of the other Relevant Parties as currently conducted, and (d) in conformity with all Governmental Requirements relating thereto.</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25" w:name="page126"/>
    <w:bookmarkEnd w:id="125"/>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 xml:space="preserve">Section 7.18 </w:t>
      </w:r>
      <w:r>
        <w:rPr>
          <w:rFonts w:ascii="Times New Roman" w:cs="Times New Roman" w:eastAsia="Times New Roman" w:hAnsi="Times New Roman"/>
          <w:sz w:val="22"/>
          <w:szCs w:val="22"/>
          <w:u w:val="single" w:color="auto"/>
          <w:color w:val="auto"/>
        </w:rPr>
        <w:t>Hedging Agreements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7.18</w:t>
      </w:r>
      <w:r>
        <w:rPr>
          <w:rFonts w:ascii="Times New Roman" w:cs="Times New Roman" w:eastAsia="Times New Roman" w:hAnsi="Times New Roman"/>
          <w:sz w:val="22"/>
          <w:szCs w:val="22"/>
          <w:color w:val="auto"/>
        </w:rPr>
        <w:t xml:space="preserve">, as of the Effective Date, and after the date hereof, and each report required to be delivered by the Borrower pursuant to </w:t>
      </w:r>
      <w:r>
        <w:rPr>
          <w:rFonts w:ascii="Times New Roman" w:cs="Times New Roman" w:eastAsia="Times New Roman" w:hAnsi="Times New Roman"/>
          <w:sz w:val="22"/>
          <w:szCs w:val="22"/>
          <w:u w:val="single" w:color="auto"/>
          <w:color w:val="auto"/>
        </w:rPr>
        <w:t>Section 8.01(e)</w:t>
      </w:r>
      <w:r>
        <w:rPr>
          <w:rFonts w:ascii="Times New Roman" w:cs="Times New Roman" w:eastAsia="Times New Roman" w:hAnsi="Times New Roman"/>
          <w:sz w:val="22"/>
          <w:szCs w:val="22"/>
          <w:color w:val="auto"/>
        </w:rPr>
        <w:t>, sets forth, a true and complete list of all Hedging Agreements of each Relevant Party, the material terms thereof (including the type, term, effective date, termination date and notional amounts or volumes), the estimated net mark-to-market value thereof, all credit support agreements relating thereto (including any margin required or supplied) other than the Security Instruments and the counterparty to each such agreement. The Borrower is a Qualified ECP Guarantor.</w:t>
      </w:r>
    </w:p>
    <w:p>
      <w:pPr>
        <w:spacing w:after="0" w:line="183"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7.19</w:t>
      </w:r>
      <w:r>
        <w:rPr>
          <w:sz w:val="20"/>
          <w:szCs w:val="20"/>
          <w:color w:val="auto"/>
        </w:rPr>
        <w:tab/>
      </w:r>
      <w:r>
        <w:rPr>
          <w:rFonts w:ascii="Times New Roman" w:cs="Times New Roman" w:eastAsia="Times New Roman" w:hAnsi="Times New Roman"/>
          <w:sz w:val="21"/>
          <w:szCs w:val="21"/>
          <w:u w:val="single" w:color="auto"/>
          <w:color w:val="auto"/>
        </w:rPr>
        <w:t>Security Instruments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43"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Guaranty and Collateral Agreement</w:t>
      </w:r>
      <w:r>
        <w:rPr>
          <w:rFonts w:ascii="Times New Roman" w:cs="Times New Roman" w:eastAsia="Times New Roman" w:hAnsi="Times New Roman"/>
          <w:sz w:val="21"/>
          <w:szCs w:val="21"/>
          <w:color w:val="auto"/>
        </w:rPr>
        <w:t xml:space="preserve">. The provisions of the Guaranty and Collateral Agreement (and any other Security Instruments delivered pursuant to </w:t>
      </w:r>
      <w:r>
        <w:rPr>
          <w:rFonts w:ascii="Times New Roman" w:cs="Times New Roman" w:eastAsia="Times New Roman" w:hAnsi="Times New Roman"/>
          <w:sz w:val="21"/>
          <w:szCs w:val="21"/>
          <w:u w:val="single" w:color="auto"/>
          <w:color w:val="auto"/>
        </w:rPr>
        <w:t>Section 8.12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8.14</w:t>
      </w:r>
      <w:r>
        <w:rPr>
          <w:rFonts w:ascii="Times New Roman" w:cs="Times New Roman" w:eastAsia="Times New Roman" w:hAnsi="Times New Roman"/>
          <w:sz w:val="21"/>
          <w:szCs w:val="21"/>
          <w:color w:val="auto"/>
        </w:rPr>
        <w:t xml:space="preserve"> covering personal property) are effective to create, in favor of the Administrative Agent for the benefit of the Secured Parties, a legal, valid and enforceable Lien on, and security interest in, all of the personal property Collateral described therein, and (i) when financing statements and other filings in appropriate form are filed in the offices specified in the Guaranty and Collateral Agreement and (ii) upon the taking of possession or control by the Administrative Agent of the Collateral with respect to which a security interest may be perfected only by possession or control (which possession or control shall be given to the Administrative Agent to the extent possession or control by the Administrative Agent is required by the Guaranty and Collateral Agreement), the Liens created by the Guaranty and Collateral Agreement do constitute fully perfected first priority Liens on, and security interests in, all right, title and interest of the Loan Parties in the Collateral covered thereby (other than such Collateral in which a Lien or a security interest cannot be perfected by filing, possession or control under the Uniform Commercial Code), in each case free of all Liens other than Permitted Liens, and prior and superior to all other Liens other than (A) with respect to Collateral consisting of Equity Interests of a Loan Party, Liens that are described in </w:t>
      </w:r>
      <w:r>
        <w:rPr>
          <w:rFonts w:ascii="Times New Roman" w:cs="Times New Roman" w:eastAsia="Times New Roman" w:hAnsi="Times New Roman"/>
          <w:sz w:val="21"/>
          <w:szCs w:val="21"/>
          <w:u w:val="single" w:color="auto"/>
          <w:color w:val="auto"/>
        </w:rPr>
        <w:t>clause</w:t>
      </w:r>
    </w:p>
    <w:p>
      <w:pPr>
        <w:spacing w:after="0" w:line="2" w:lineRule="exact"/>
        <w:rPr>
          <w:sz w:val="20"/>
          <w:szCs w:val="20"/>
          <w:color w:val="auto"/>
        </w:rPr>
      </w:pPr>
    </w:p>
    <w:p>
      <w:pPr>
        <w:jc w:val="both"/>
        <w:ind w:right="399" w:firstLine="2"/>
        <w:spacing w:after="0" w:line="235" w:lineRule="auto"/>
        <w:tabs>
          <w:tab w:leader="none" w:pos="339" w:val="left"/>
        </w:tabs>
        <w:numPr>
          <w:ilvl w:val="0"/>
          <w:numId w:val="8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the definition of “Excepted Liens”, and (B) with respect to all other Collateral covered by the Guaranty and Collateral Agreement, Permitted Liens permitted to have priority under the terms of the Guaranty and Collateral Agreement.</w:t>
      </w:r>
    </w:p>
    <w:p>
      <w:pPr>
        <w:spacing w:after="0" w:line="178"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Mortgages</w:t>
      </w:r>
      <w:r>
        <w:rPr>
          <w:rFonts w:ascii="Times New Roman" w:cs="Times New Roman" w:eastAsia="Times New Roman" w:hAnsi="Times New Roman"/>
          <w:sz w:val="22"/>
          <w:szCs w:val="22"/>
          <w:color w:val="auto"/>
        </w:rPr>
        <w:t xml:space="preserve">. Each Mortgage (including any Mortgage delivered pursuant to </w:t>
      </w:r>
      <w:r>
        <w:rPr>
          <w:rFonts w:ascii="Times New Roman" w:cs="Times New Roman" w:eastAsia="Times New Roman" w:hAnsi="Times New Roman"/>
          <w:sz w:val="22"/>
          <w:szCs w:val="22"/>
          <w:u w:val="single" w:color="auto"/>
          <w:color w:val="auto"/>
        </w:rPr>
        <w:t>Section 8.12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is effective to create in favor of the Administrative Agent (or such other trustee as may be required or desired under local law), for the benefit of the Secured Parties, legal, valid and enforceable Liens on, and security interests in, all of the Mortgaged Property thereunder, subject only to Permitted Liens and when the Mortgages are filed of record in the counties or parishes where the mortgaged Collateral is located, the Mortgages shall constitute fully perfected first priority Liens on, and security interests in, all right, title and interest of the Loan Parties in that portion of the Mortgaged Property constituting real Property and fixtures affixed or attached to such real Property, in each case and superior in right to any other person, other than Permitted Liens permitted to have priority under the terms of each Mortgage.</w:t>
      </w:r>
    </w:p>
    <w:p>
      <w:pPr>
        <w:spacing w:after="0" w:line="179"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 xml:space="preserve">Section 7.20 </w:t>
      </w:r>
      <w:r>
        <w:rPr>
          <w:rFonts w:ascii="Times New Roman" w:cs="Times New Roman" w:eastAsia="Times New Roman" w:hAnsi="Times New Roman"/>
          <w:sz w:val="22"/>
          <w:szCs w:val="22"/>
          <w:u w:val="single" w:color="auto"/>
          <w:color w:val="auto"/>
        </w:rPr>
        <w:t>Use of Loans and Letters of Credit</w:t>
      </w:r>
      <w:r>
        <w:rPr>
          <w:rFonts w:ascii="Times New Roman" w:cs="Times New Roman" w:eastAsia="Times New Roman" w:hAnsi="Times New Roman"/>
          <w:sz w:val="22"/>
          <w:szCs w:val="22"/>
          <w:color w:val="auto"/>
        </w:rPr>
        <w:t xml:space="preserve">. The proceeds of the Loans and the Letters of Credit shall be used by the Borrower and other Relevant Parties during the Availability Period (a) to Capital Expenditures and Projects, (b) to pay fees and expenses in connection with this Agreement and the Transactions, (c) to make Restricted Payments permitted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and (d) for working capital and other general corporate purposes. No Loan Party is engaged principally, or as one of its important activities, in the business of extending credit for the</w:t>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26" w:name="page127"/>
    <w:bookmarkEnd w:id="126"/>
    <w:p>
      <w:pPr>
        <w:jc w:val="both"/>
        <w:ind w:right="399"/>
        <w:spacing w:after="0" w:line="239" w:lineRule="auto"/>
        <w:rPr>
          <w:sz w:val="20"/>
          <w:szCs w:val="20"/>
          <w:color w:val="auto"/>
        </w:rPr>
      </w:pPr>
      <w:r>
        <w:rPr>
          <w:rFonts w:ascii="Times New Roman" w:cs="Times New Roman" w:eastAsia="Times New Roman" w:hAnsi="Times New Roman"/>
          <w:sz w:val="22"/>
          <w:szCs w:val="22"/>
          <w:color w:val="auto"/>
        </w:rPr>
        <w:t>purpose, whether immediate, incidental or ultimate, of buying or carrying margin stock (within the meaning of Regulation T, U or X of the Board). No part of the proceeds of any Loan or Letter of Credit will be used for any purpose which violates (x) the provisions of Regulations T, U or X of the Board or (y) any Sanctions.</w:t>
      </w:r>
    </w:p>
    <w:p>
      <w:pPr>
        <w:spacing w:after="0" w:line="180"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 xml:space="preserve">Section 7.21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After giving effect to the transactions contemplated hereby (including each Borrowing hereunder and each issuance, extension or renewal of a Letter of Credit), the Loan Parties, taken as a whole, are Solvent.</w:t>
      </w:r>
    </w:p>
    <w:p>
      <w:pPr>
        <w:spacing w:after="0" w:line="173" w:lineRule="exact"/>
        <w:rPr>
          <w:sz w:val="20"/>
          <w:szCs w:val="20"/>
          <w:color w:val="auto"/>
        </w:rPr>
      </w:pPr>
    </w:p>
    <w:p>
      <w:pPr>
        <w:jc w:val="both"/>
        <w:ind w:right="399" w:firstLine="747"/>
        <w:spacing w:after="0" w:line="233" w:lineRule="auto"/>
        <w:rPr>
          <w:sz w:val="20"/>
          <w:szCs w:val="20"/>
          <w:color w:val="auto"/>
        </w:rPr>
      </w:pPr>
      <w:r>
        <w:rPr>
          <w:rFonts w:ascii="Times New Roman" w:cs="Times New Roman" w:eastAsia="Times New Roman" w:hAnsi="Times New Roman"/>
          <w:sz w:val="22"/>
          <w:szCs w:val="22"/>
          <w:color w:val="auto"/>
        </w:rPr>
        <w:t xml:space="preserve">Section 7.22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7.22</w:t>
      </w:r>
      <w:r>
        <w:rPr>
          <w:rFonts w:ascii="Times New Roman" w:cs="Times New Roman" w:eastAsia="Times New Roman" w:hAnsi="Times New Roman"/>
          <w:sz w:val="22"/>
          <w:szCs w:val="22"/>
          <w:color w:val="auto"/>
        </w:rPr>
        <w:t xml:space="preserve"> hereto contains a complete list, as of the Effective Date, of all Material Contracts of the Borrower and each other Relevant Party, including all amendments, supplements or side-letters thereto. All such Material Contracts are in full force and effect on the Effective Date. Neither the Borrower nor any other Relevant Party is in breach under any Material Contract in any way that would reasonably be expected to result in a Material Adverse Effect, and to the knowledge of the Borrower and each other Relevant Party, no other Person that is party thereto is in breach under any Material Contract, in each case, in any way that would reasonably be expected to result in a Material Adverse Effect. None of the Material Contracts prohibits the transactions contemplated under the Loan Documents. Except as shown in </w:t>
      </w:r>
      <w:r>
        <w:rPr>
          <w:rFonts w:ascii="Times New Roman" w:cs="Times New Roman" w:eastAsia="Times New Roman" w:hAnsi="Times New Roman"/>
          <w:sz w:val="22"/>
          <w:szCs w:val="22"/>
          <w:u w:val="single" w:color="auto"/>
          <w:color w:val="auto"/>
        </w:rPr>
        <w:t>Schedule 7.22</w:t>
      </w:r>
      <w:r>
        <w:rPr>
          <w:rFonts w:ascii="Times New Roman" w:cs="Times New Roman" w:eastAsia="Times New Roman" w:hAnsi="Times New Roman"/>
          <w:sz w:val="22"/>
          <w:szCs w:val="22"/>
          <w:color w:val="auto"/>
        </w:rPr>
        <w:t xml:space="preserve"> hereto, as of the Effective Date, each of the Material Contracts is currently in the name of, or has been assigned to, a Relevant Party (with the consent or acceptance of each other party thereto if and to the extent that such consent or acceptance is required thereunder), and a security interest in each of the Material Contracts may be granted to the Administrative Agent. The Borrower and the other Relevant Parties have delivered to the Administrative Agent a complete and current copy of each of their Material Contracts, including all amendments, supplements or side-letters thereto, existing on the Effective Date.</w:t>
      </w:r>
    </w:p>
    <w:p>
      <w:pPr>
        <w:spacing w:after="0" w:line="177"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7.23</w:t>
      </w:r>
      <w:r>
        <w:rPr>
          <w:sz w:val="20"/>
          <w:szCs w:val="20"/>
          <w:color w:val="auto"/>
        </w:rPr>
        <w:tab/>
      </w:r>
      <w:r>
        <w:rPr>
          <w:rFonts w:ascii="Times New Roman" w:cs="Times New Roman" w:eastAsia="Times New Roman" w:hAnsi="Times New Roman"/>
          <w:sz w:val="21"/>
          <w:szCs w:val="21"/>
          <w:u w:val="single" w:color="auto"/>
          <w:color w:val="auto"/>
        </w:rPr>
        <w:t>Anti-Terrorism Laws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(a)No Loan Party is, and to the knowledge of each Loan Party, none of its Affiliates, officers or directors is in violation of any Governmental Requirement relating to terrorism or money laundering (“</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including Executive Order No. 13224 on Terrorist Financing, effective September 24, 2001 (the “</w:t>
      </w:r>
      <w:r>
        <w:rPr>
          <w:rFonts w:ascii="Times New Roman" w:cs="Times New Roman" w:eastAsia="Times New Roman" w:hAnsi="Times New Roman"/>
          <w:sz w:val="22"/>
          <w:szCs w:val="22"/>
          <w:u w:val="single" w:color="auto"/>
          <w:color w:val="auto"/>
        </w:rPr>
        <w:t>Executive Order</w:t>
      </w:r>
      <w:r>
        <w:rPr>
          <w:rFonts w:ascii="Times New Roman" w:cs="Times New Roman" w:eastAsia="Times New Roman" w:hAnsi="Times New Roman"/>
          <w:sz w:val="22"/>
          <w:szCs w:val="22"/>
          <w:color w:val="auto"/>
        </w:rPr>
        <w:t>”), the Uniting and Strengthening America by Providing Appropriate Tools Required to Intercept and Obstruct Terrorism Act of 2001, Public Law 107-56, and the Trading with the Enemy Act, 50 U.S.C. App. 1 et seq., in each case, as amended from time to time.</w:t>
      </w:r>
    </w:p>
    <w:p>
      <w:pPr>
        <w:spacing w:after="0" w:line="183"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(b)No Loan Party is, and to the knowledge of each Loan Party, no Affiliate, officer, director, broker or other agent of such Loan Party acting or benefiting in any capacity in connection with the Loans is any of the following:</w:t>
      </w:r>
    </w:p>
    <w:p>
      <w:pPr>
        <w:spacing w:after="0" w:line="173" w:lineRule="exact"/>
        <w:rPr>
          <w:sz w:val="20"/>
          <w:szCs w:val="20"/>
          <w:color w:val="auto"/>
        </w:rPr>
      </w:pPr>
    </w:p>
    <w:p>
      <w:pPr>
        <w:ind w:left="2120" w:hanging="276"/>
        <w:spacing w:after="0"/>
        <w:tabs>
          <w:tab w:leader="none" w:pos="21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that is listed in the annex to, or is otherwise subject to the provisions of,</w:t>
      </w:r>
    </w:p>
    <w:p>
      <w:pPr>
        <w:spacing w:after="0" w:line="14"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Order;</w:t>
      </w:r>
    </w:p>
    <w:p>
      <w:pPr>
        <w:spacing w:after="0" w:line="182" w:lineRule="exact"/>
        <w:rPr>
          <w:sz w:val="20"/>
          <w:szCs w:val="20"/>
          <w:color w:val="auto"/>
        </w:rPr>
      </w:pPr>
    </w:p>
    <w:p>
      <w:pPr>
        <w:ind w:left="120" w:right="399" w:firstLine="1722"/>
        <w:spacing w:after="0" w:line="243" w:lineRule="auto"/>
        <w:rPr>
          <w:sz w:val="20"/>
          <w:szCs w:val="20"/>
          <w:color w:val="auto"/>
        </w:rPr>
      </w:pPr>
      <w:r>
        <w:rPr>
          <w:rFonts w:ascii="Times New Roman" w:cs="Times New Roman" w:eastAsia="Times New Roman" w:hAnsi="Times New Roman"/>
          <w:sz w:val="22"/>
          <w:szCs w:val="22"/>
          <w:color w:val="auto"/>
        </w:rPr>
        <w:t>(ii)a Person owned or controlled by, or acting for or on behalf of, any Person that is listed in the annex to, or is otherwise subject to the provisions of, the Executive Order;</w:t>
      </w:r>
    </w:p>
    <w:p>
      <w:pPr>
        <w:ind w:left="5140"/>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27" w:name="page128"/>
    <w:bookmarkEnd w:id="127"/>
    <w:p>
      <w:pPr>
        <w:ind w:left="120" w:right="399" w:firstLine="1722"/>
        <w:spacing w:after="0" w:line="258" w:lineRule="auto"/>
        <w:rPr>
          <w:sz w:val="20"/>
          <w:szCs w:val="20"/>
          <w:color w:val="auto"/>
        </w:rPr>
      </w:pPr>
      <w:r>
        <w:rPr>
          <w:rFonts w:ascii="Times New Roman" w:cs="Times New Roman" w:eastAsia="Times New Roman" w:hAnsi="Times New Roman"/>
          <w:sz w:val="22"/>
          <w:szCs w:val="22"/>
          <w:color w:val="auto"/>
        </w:rPr>
        <w:t>(iii)a Person with which any Lender is prohibited from dealing or otherwise engaging in any transaction by any Anti-Terrorism Law;</w:t>
      </w:r>
    </w:p>
    <w:p>
      <w:pPr>
        <w:spacing w:after="0" w:line="158" w:lineRule="exact"/>
        <w:rPr>
          <w:sz w:val="20"/>
          <w:szCs w:val="20"/>
          <w:color w:val="auto"/>
        </w:rPr>
      </w:pPr>
    </w:p>
    <w:p>
      <w:pPr>
        <w:ind w:right="1739" w:firstLine="1842"/>
        <w:spacing w:after="0" w:line="258" w:lineRule="auto"/>
        <w:rPr>
          <w:sz w:val="20"/>
          <w:szCs w:val="20"/>
          <w:color w:val="auto"/>
        </w:rPr>
      </w:pPr>
      <w:r>
        <w:rPr>
          <w:rFonts w:ascii="Times New Roman" w:cs="Times New Roman" w:eastAsia="Times New Roman" w:hAnsi="Times New Roman"/>
          <w:sz w:val="22"/>
          <w:szCs w:val="22"/>
          <w:color w:val="auto"/>
        </w:rPr>
        <w:t>(iv)a Person that commits, threatens or conspires to commit or supports “</w:t>
      </w:r>
      <w:r>
        <w:rPr>
          <w:rFonts w:ascii="Times New Roman" w:cs="Times New Roman" w:eastAsia="Times New Roman" w:hAnsi="Times New Roman"/>
          <w:sz w:val="22"/>
          <w:szCs w:val="22"/>
          <w:u w:val="single" w:color="auto"/>
          <w:color w:val="auto"/>
        </w:rPr>
        <w:t>terrorism</w:t>
      </w:r>
      <w:r>
        <w:rPr>
          <w:rFonts w:ascii="Times New Roman" w:cs="Times New Roman" w:eastAsia="Times New Roman" w:hAnsi="Times New Roman"/>
          <w:sz w:val="22"/>
          <w:szCs w:val="22"/>
          <w:color w:val="auto"/>
        </w:rPr>
        <w:t>” as defined in the Executive Order; or</w:t>
      </w:r>
    </w:p>
    <w:p>
      <w:pPr>
        <w:spacing w:after="0" w:line="158" w:lineRule="exact"/>
        <w:rPr>
          <w:sz w:val="20"/>
          <w:szCs w:val="20"/>
          <w:color w:val="auto"/>
        </w:rPr>
      </w:pPr>
    </w:p>
    <w:p>
      <w:pPr>
        <w:jc w:val="both"/>
        <w:ind w:left="120" w:right="399" w:firstLine="1724"/>
        <w:spacing w:after="0" w:line="244" w:lineRule="auto"/>
        <w:tabs>
          <w:tab w:leader="none" w:pos="212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that is named as a “</w:t>
      </w:r>
      <w:r>
        <w:rPr>
          <w:rFonts w:ascii="Times New Roman" w:cs="Times New Roman" w:eastAsia="Times New Roman" w:hAnsi="Times New Roman"/>
          <w:sz w:val="22"/>
          <w:szCs w:val="22"/>
          <w:u w:val="single" w:color="auto"/>
          <w:color w:val="auto"/>
        </w:rPr>
        <w:t>specially designated national and blocked Person</w:t>
      </w:r>
      <w:r>
        <w:rPr>
          <w:rFonts w:ascii="Times New Roman" w:cs="Times New Roman" w:eastAsia="Times New Roman" w:hAnsi="Times New Roman"/>
          <w:sz w:val="22"/>
          <w:szCs w:val="22"/>
          <w:color w:val="auto"/>
        </w:rPr>
        <w:t>” on the most current list published by OFAC at its official website or any replacement website or other replacement official publication of such list.</w:t>
      </w:r>
    </w:p>
    <w:p>
      <w:pPr>
        <w:spacing w:after="0" w:line="173" w:lineRule="exact"/>
        <w:rPr>
          <w:sz w:val="20"/>
          <w:szCs w:val="20"/>
          <w:color w:val="auto"/>
        </w:rPr>
      </w:pPr>
    </w:p>
    <w:p>
      <w:pPr>
        <w:jc w:val="both"/>
        <w:ind w:right="399" w:firstLine="747"/>
        <w:spacing w:after="0" w:line="243" w:lineRule="auto"/>
        <w:rPr>
          <w:sz w:val="20"/>
          <w:szCs w:val="20"/>
          <w:color w:val="auto"/>
        </w:rPr>
      </w:pPr>
      <w:r>
        <w:rPr>
          <w:rFonts w:ascii="Times New Roman" w:cs="Times New Roman" w:eastAsia="Times New Roman" w:hAnsi="Times New Roman"/>
          <w:sz w:val="21"/>
          <w:szCs w:val="21"/>
          <w:color w:val="auto"/>
        </w:rPr>
        <w:t xml:space="preserve">Section 7.24 </w:t>
      </w:r>
      <w:r>
        <w:rPr>
          <w:rFonts w:ascii="Times New Roman" w:cs="Times New Roman" w:eastAsia="Times New Roman" w:hAnsi="Times New Roman"/>
          <w:sz w:val="21"/>
          <w:szCs w:val="21"/>
          <w:u w:val="single" w:color="auto"/>
          <w:color w:val="auto"/>
        </w:rPr>
        <w:t>Anti-Corruption Laws, Sanctions and Outbound Investment Rules</w:t>
      </w:r>
      <w:r>
        <w:rPr>
          <w:rFonts w:ascii="Times New Roman" w:cs="Times New Roman" w:eastAsia="Times New Roman" w:hAnsi="Times New Roman"/>
          <w:sz w:val="21"/>
          <w:szCs w:val="21"/>
          <w:color w:val="auto"/>
        </w:rPr>
        <w:t>. The Borrower and its Subsidiaries have implemented and maintain in effect such policies and procedures, if any, as it reasonably deems appropriate, in light of its business and international activities (if any), designed to ensure compliance by the Borrower, its Subsidiaries and their respective directors, officers, employees and agents with Anti-Terrorism Laws, Anti-Corruption Laws and applicable Sanctions, and the Borrower, its Subsidiaries and their respective officers and employees and its Subsidiaries and their respective directors, officers and employees, and, to the knowledge of the Borrower, their respective agents and Affiliates, in each case, are in compliance with (i) the Trading with the Enemy Act, as amended, and each of the foreign assets control regulations of the United States Treasury Department (31 C.F.R., Subtitle B, Chapter V, as amended), and any other enabling legislation or executive order relating thereto, (ii) Anti-Corruption Laws and (iii) the PATRIOT Act in all material respects and have not violated any applicable Sanctions. None of</w:t>
      </w:r>
    </w:p>
    <w:p>
      <w:pPr>
        <w:spacing w:after="0" w:line="8" w:lineRule="exact"/>
        <w:rPr>
          <w:sz w:val="20"/>
          <w:szCs w:val="20"/>
          <w:color w:val="auto"/>
        </w:rPr>
      </w:pPr>
    </w:p>
    <w:p>
      <w:pPr>
        <w:jc w:val="both"/>
        <w:ind w:right="399" w:firstLine="2"/>
        <w:spacing w:after="0" w:line="231" w:lineRule="auto"/>
        <w:tabs>
          <w:tab w:leader="none" w:pos="30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any Subsidiary or any of their respective directors, officers or employees, or (b) to the knowledge of the Borrower, (i) any of their Affiliates or (ii) any agent of such Loan Party or any such Subsidiary that will act in any capacity in connection with or benefit from the credit facility established hereby, is a Sanctioned Person. No Borrowing or Letter of Credit, and no use of the proceeds thereof by any Loan Party or any Subsidiary, will violate Anti-Terrorism Laws, Anti-Corruption Laws or applicable Sanctions. Neither the Borrower nor any of its Subsidiaries (i) is a “covered foreign person” as that term is used in the Outbound Investment Rules or (ii) currently engages, or has any present intention to engage in the future,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the Borrower were a United States Person or (C)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Section 7.25 </w:t>
      </w:r>
      <w:r>
        <w:rPr>
          <w:rFonts w:ascii="Times New Roman" w:cs="Times New Roman" w:eastAsia="Times New Roman" w:hAnsi="Times New Roman"/>
          <w:sz w:val="22"/>
          <w:szCs w:val="22"/>
          <w:u w:val="single" w:color="auto"/>
          <w:color w:val="auto"/>
        </w:rPr>
        <w:t>Affected Financial Institutions</w:t>
      </w:r>
      <w:r>
        <w:rPr>
          <w:rFonts w:ascii="Times New Roman" w:cs="Times New Roman" w:eastAsia="Times New Roman" w:hAnsi="Times New Roman"/>
          <w:sz w:val="22"/>
          <w:szCs w:val="22"/>
          <w:color w:val="auto"/>
        </w:rPr>
        <w:t>. No Loan Party is an Affected Financial Institution.</w:t>
      </w:r>
    </w:p>
    <w:p>
      <w:pPr>
        <w:spacing w:after="0" w:line="206"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 xml:space="preserve">Section 7.26 </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As of the Effective Date, the information included in the Beneficial Ownership Certification, if applicable, is true and correct in all respects.</w:t>
      </w:r>
    </w:p>
    <w:p>
      <w:pPr>
        <w:spacing w:after="0" w:line="158"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 xml:space="preserve">Section 7.27 </w:t>
      </w:r>
      <w:r>
        <w:rPr>
          <w:rFonts w:ascii="Times New Roman" w:cs="Times New Roman" w:eastAsia="Times New Roman" w:hAnsi="Times New Roman"/>
          <w:sz w:val="22"/>
          <w:szCs w:val="22"/>
          <w:u w:val="single" w:color="auto"/>
          <w:color w:val="auto"/>
        </w:rPr>
        <w:t>Labor Matters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7.27</w:t>
      </w:r>
      <w:r>
        <w:rPr>
          <w:rFonts w:ascii="Times New Roman" w:cs="Times New Roman" w:eastAsia="Times New Roman" w:hAnsi="Times New Roman"/>
          <w:sz w:val="22"/>
          <w:szCs w:val="22"/>
          <w:color w:val="auto"/>
        </w:rPr>
        <w:t>, no Loan Party is subject to any labor or collective bargaining agreement. There are no existing or threatened strikes, lockouts or other labor disputes involving any Loan Party that singly or in the aggregate would</w:t>
      </w:r>
    </w:p>
    <w:p>
      <w:pPr>
        <w:spacing w:after="0" w:line="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28" w:name="page129"/>
    <w:bookmarkEnd w:id="128"/>
    <w:p>
      <w:pPr>
        <w:jc w:val="both"/>
        <w:ind w:right="399"/>
        <w:spacing w:after="0" w:line="244" w:lineRule="auto"/>
        <w:rPr>
          <w:sz w:val="20"/>
          <w:szCs w:val="20"/>
          <w:color w:val="auto"/>
        </w:rPr>
      </w:pPr>
      <w:r>
        <w:rPr>
          <w:rFonts w:ascii="Times New Roman" w:cs="Times New Roman" w:eastAsia="Times New Roman" w:hAnsi="Times New Roman"/>
          <w:sz w:val="22"/>
          <w:szCs w:val="22"/>
          <w:color w:val="auto"/>
        </w:rPr>
        <w:t>reasonably be expected to have a Material Adverse Effect. Hours worked by and payment made to employees of the Loan Parties are not in violation of the Fair Labor Standards Act or any other applicable law dealing with such matters.</w:t>
      </w:r>
    </w:p>
    <w:p>
      <w:pPr>
        <w:spacing w:after="0" w:line="173"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1"/>
          <w:szCs w:val="21"/>
          <w:color w:val="auto"/>
        </w:rPr>
        <w:t xml:space="preserve">Section 7.28 </w:t>
      </w:r>
      <w:r>
        <w:rPr>
          <w:rFonts w:ascii="Times New Roman" w:cs="Times New Roman" w:eastAsia="Times New Roman" w:hAnsi="Times New Roman"/>
          <w:sz w:val="21"/>
          <w:szCs w:val="21"/>
          <w:u w:val="single" w:color="auto"/>
          <w:color w:val="auto"/>
        </w:rPr>
        <w:t>Federal and State Regulation</w:t>
      </w:r>
      <w:r>
        <w:rPr>
          <w:rFonts w:ascii="Times New Roman" w:cs="Times New Roman" w:eastAsia="Times New Roman" w:hAnsi="Times New Roman"/>
          <w:sz w:val="21"/>
          <w:szCs w:val="21"/>
          <w:color w:val="auto"/>
        </w:rPr>
        <w:t xml:space="preserve">. None of the Gathering Systems provide interstate transportation or storage services that are subject to the jurisdiction of FERC pursuant to the Natural Gas Act of 1938, as amended, or the Natural Gas Policy Act of 1978, as amended, and except for those facilities listed on </w:t>
      </w:r>
      <w:r>
        <w:rPr>
          <w:rFonts w:ascii="Times New Roman" w:cs="Times New Roman" w:eastAsia="Times New Roman" w:hAnsi="Times New Roman"/>
          <w:sz w:val="21"/>
          <w:szCs w:val="21"/>
          <w:u w:val="single" w:color="auto"/>
          <w:color w:val="auto"/>
        </w:rPr>
        <w:t>Schedule 7.28</w:t>
      </w:r>
      <w:r>
        <w:rPr>
          <w:rFonts w:ascii="Times New Roman" w:cs="Times New Roman" w:eastAsia="Times New Roman" w:hAnsi="Times New Roman"/>
          <w:sz w:val="21"/>
          <w:szCs w:val="21"/>
          <w:color w:val="auto"/>
        </w:rPr>
        <w:t xml:space="preserve"> and expansions thereof (“</w:t>
      </w:r>
      <w:r>
        <w:rPr>
          <w:rFonts w:ascii="Times New Roman" w:cs="Times New Roman" w:eastAsia="Times New Roman" w:hAnsi="Times New Roman"/>
          <w:sz w:val="21"/>
          <w:szCs w:val="21"/>
          <w:u w:val="single" w:color="auto"/>
          <w:color w:val="auto"/>
        </w:rPr>
        <w:t>Interstate Pipelines</w:t>
      </w:r>
      <w:r>
        <w:rPr>
          <w:rFonts w:ascii="Times New Roman" w:cs="Times New Roman" w:eastAsia="Times New Roman" w:hAnsi="Times New Roman"/>
          <w:sz w:val="21"/>
          <w:szCs w:val="21"/>
          <w:color w:val="auto"/>
        </w:rPr>
        <w:t xml:space="preserve">”), none of the Gathering Systems provide interstate transportation or storage services that are subject to the jurisdiction of FERC pursuant to the Interstate Commerce Act. The Interstate Pipelines are, or will be, subject to rate regulation by FERC under the Interstate Commerce Act. With respect to the Interstate Pipelines, (a) the rates that are, or will be, on file with FERC will be substantially consistent with the terms and conditions of the declaratory order issued by FERC in Docket No. OR16-3, and (b) to the knowledge of the Relevant Parties, no provision of the tariff at issue in FERC Docket No. OR16-3 is unduly discriminatory or unduly preferential. Except as set forth on </w:t>
      </w:r>
      <w:r>
        <w:rPr>
          <w:rFonts w:ascii="Times New Roman" w:cs="Times New Roman" w:eastAsia="Times New Roman" w:hAnsi="Times New Roman"/>
          <w:sz w:val="21"/>
          <w:szCs w:val="21"/>
          <w:u w:val="single" w:color="auto"/>
          <w:color w:val="auto"/>
        </w:rPr>
        <w:t>Schedule 7.28</w:t>
      </w:r>
      <w:r>
        <w:rPr>
          <w:rFonts w:ascii="Times New Roman" w:cs="Times New Roman" w:eastAsia="Times New Roman" w:hAnsi="Times New Roman"/>
          <w:sz w:val="21"/>
          <w:szCs w:val="21"/>
          <w:color w:val="auto"/>
        </w:rPr>
        <w:t>, to the knowledge of any Relevant Party, neither any Relevant Party nor any other Person that now owns or has owned an interest in any of the Interstate Pipelines has been or is the subject of a complaint, investigation or other proceeding regarding their respective rates or practices with respect to the Interstate Pipelines, with the exception of FERC Docket No. OR16-3 in which FERC issued a declaratory order on February 1, 2016 and for which rehearing or clarification may be sought within thirty days of the issuance of such order. No such complaint, petition, or other filing with FERC, individually or in the aggregate, could reasonably be expected to result in a Material Adverse Effect.</w:t>
      </w:r>
    </w:p>
    <w:p>
      <w:pPr>
        <w:spacing w:after="0" w:line="173"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7.29</w:t>
      </w:r>
      <w:r>
        <w:rPr>
          <w:sz w:val="20"/>
          <w:szCs w:val="20"/>
          <w:color w:val="auto"/>
        </w:rPr>
        <w:tab/>
      </w:r>
      <w:r>
        <w:rPr>
          <w:rFonts w:ascii="Times New Roman" w:cs="Times New Roman" w:eastAsia="Times New Roman" w:hAnsi="Times New Roman"/>
          <w:sz w:val="21"/>
          <w:szCs w:val="21"/>
          <w:u w:val="single" w:color="auto"/>
          <w:color w:val="auto"/>
        </w:rPr>
        <w:t>FERC and State Pipeline Regulatory Agencies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82" w:lineRule="auto"/>
        <w:rPr>
          <w:sz w:val="20"/>
          <w:szCs w:val="20"/>
          <w:color w:val="auto"/>
        </w:rPr>
      </w:pPr>
      <w:r>
        <w:rPr>
          <w:rFonts w:ascii="Times New Roman" w:cs="Times New Roman" w:eastAsia="Times New Roman" w:hAnsi="Times New Roman"/>
          <w:sz w:val="21"/>
          <w:szCs w:val="21"/>
          <w:color w:val="auto"/>
        </w:rPr>
        <w:t>(a)Each Relevant Party is in compliance, in all material respects, with all rules, regulations and orders of FERC and all State Pipeline Regulatory Agencies applicable to the Midstream Properties.</w:t>
      </w:r>
    </w:p>
    <w:p>
      <w:pPr>
        <w:spacing w:after="0" w:line="135"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(b)No Relevant Party is liable for any material refunds or interest thereon as a result of an order from FERC or any other Governmental Authority with jurisdiction over the Gathering Systems.</w:t>
      </w:r>
    </w:p>
    <w:p>
      <w:pPr>
        <w:spacing w:after="0" w:line="158"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(c)Each applicable Relevant Party’s report, if any, on Form 6 filed with FERC or such other forms as required by FERC or a State Pipeline Regulatory Agency complies as to form with all applicable legal requirements and does not contain any untrue statement of a material fact or omit to state a material fact required to make the statements therein not misleading.</w:t>
      </w:r>
    </w:p>
    <w:p>
      <w:pPr>
        <w:spacing w:after="0" w:line="180" w:lineRule="exact"/>
        <w:rPr>
          <w:sz w:val="20"/>
          <w:szCs w:val="20"/>
          <w:color w:val="auto"/>
        </w:rPr>
      </w:pPr>
    </w:p>
    <w:p>
      <w:pPr>
        <w:jc w:val="both"/>
        <w:ind w:right="399" w:firstLine="747"/>
        <w:spacing w:after="0" w:line="241" w:lineRule="auto"/>
        <w:rPr>
          <w:sz w:val="20"/>
          <w:szCs w:val="20"/>
          <w:color w:val="auto"/>
        </w:rPr>
      </w:pPr>
      <w:r>
        <w:rPr>
          <w:rFonts w:ascii="Times New Roman" w:cs="Times New Roman" w:eastAsia="Times New Roman" w:hAnsi="Times New Roman"/>
          <w:sz w:val="22"/>
          <w:szCs w:val="22"/>
          <w:color w:val="auto"/>
        </w:rPr>
        <w:t xml:space="preserve">Section 7.30 </w:t>
      </w:r>
      <w:r>
        <w:rPr>
          <w:rFonts w:ascii="Times New Roman" w:cs="Times New Roman" w:eastAsia="Times New Roman" w:hAnsi="Times New Roman"/>
          <w:sz w:val="22"/>
          <w:szCs w:val="22"/>
          <w:u w:val="single" w:color="auto"/>
          <w:color w:val="auto"/>
        </w:rPr>
        <w:t>Title to Hydrocarbons</w:t>
      </w:r>
      <w:r>
        <w:rPr>
          <w:rFonts w:ascii="Times New Roman" w:cs="Times New Roman" w:eastAsia="Times New Roman" w:hAnsi="Times New Roman"/>
          <w:sz w:val="22"/>
          <w:szCs w:val="22"/>
          <w:color w:val="auto"/>
        </w:rPr>
        <w:t>. No Relevant Party has title to any of the Hydrocarbons that are transported and/or distributed through the Gathering Systems, except</w:t>
      </w:r>
    </w:p>
    <w:p>
      <w:pPr>
        <w:spacing w:after="0" w:line="2" w:lineRule="exact"/>
        <w:rPr>
          <w:sz w:val="20"/>
          <w:szCs w:val="20"/>
          <w:color w:val="auto"/>
        </w:rPr>
      </w:pPr>
    </w:p>
    <w:p>
      <w:pPr>
        <w:jc w:val="both"/>
        <w:ind w:right="399" w:firstLine="2"/>
        <w:spacing w:after="0" w:line="231" w:lineRule="auto"/>
        <w:tabs>
          <w:tab w:leader="none" w:pos="33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Hydrocarbons consisting of line fill for the Gathering Systems, (b) other Hydrocarbons pursuant to agreements under which the relevant Relevant Party does not have any exposure to commodity price volatility as a result of having title to such Hydrocarbons, and (c) Hydrocarbons acquired pursuant to Permitted Marketing Activities.</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29" w:name="page130"/>
    <w:bookmarkEnd w:id="129"/>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182"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Until the Payment in Full of the Secured Obligations, the Borrower covenants and agrees, and each Guarantor by its execution of the Guaranty and Collateral Agreement covenants and agrees, with the Administrative Agent, the Issuing Bank and the Lenders that:</w:t>
      </w:r>
    </w:p>
    <w:p>
      <w:pPr>
        <w:spacing w:after="0" w:line="173"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Financial Statements; Reporting and Certificates; Other Information</w:t>
      </w:r>
      <w:r>
        <w:rPr>
          <w:rFonts w:ascii="Times New Roman" w:cs="Times New Roman" w:eastAsia="Times New Roman" w:hAnsi="Times New Roman"/>
          <w:sz w:val="22"/>
          <w:szCs w:val="22"/>
          <w:color w:val="auto"/>
        </w:rPr>
        <w:t>. The Borrower will furnish to the Administrative Agent for distribution to each Lender:</w:t>
      </w:r>
    </w:p>
    <w:p>
      <w:pPr>
        <w:spacing w:after="0" w:line="158"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Annual Financial Statements</w:t>
      </w:r>
      <w:r>
        <w:rPr>
          <w:rFonts w:ascii="Times New Roman" w:cs="Times New Roman" w:eastAsia="Times New Roman" w:hAnsi="Times New Roman"/>
          <w:sz w:val="21"/>
          <w:szCs w:val="21"/>
          <w:color w:val="auto"/>
        </w:rPr>
        <w:t xml:space="preserve">. Not later than one hundred twenty (120) days after the end of each fiscal year of the Borrower, (i) the Borrower’s and its Consolidated Subsidiaries audited consolidated balance sheet and related statements of income or operations, owners’ equity and cash flows as of the end of and for such year, setting forth in each case in comparative form to the figures for the previous fiscal year (if any), all reported on by Ernst &amp; Young LLP or other independent public accountants of recognized national standing (without any qualification or exception which (x) is of a “going concern” or similar nature, or (y) relates to the limited scope of examination of matters relevant to such financial statement (other than in the case of clauses (x) and (y), resulting from (1) the impending maturity of the Loans hereunder or (2) any prospective breach of any financial covenant)) to the effect that such consolidated financial statements present fairly in all material respects the financial position and results of operations of the Borrower and its Consolidated Subsidiaries on a consolidated basis, as applicable, in accordance with GAAP consistently applied (except for changes in accounting principles and changes in accounting estimates required by GAAP) and (ii) reports of newly entered and terminated Material Contracts (or material amendments, supplements, waivers or modifications thereto), operations, systems volumes (including actual volumes) and Average Daily Volumes by month in respect of the fiscal quarter then ending, to the extent such reports have not already been provided pursuant to </w:t>
      </w:r>
      <w:r>
        <w:rPr>
          <w:rFonts w:ascii="Times New Roman" w:cs="Times New Roman" w:eastAsia="Times New Roman" w:hAnsi="Times New Roman"/>
          <w:sz w:val="21"/>
          <w:szCs w:val="21"/>
          <w:u w:val="single" w:color="auto"/>
          <w:color w:val="auto"/>
        </w:rPr>
        <w:t>Section 8.01(b)(ii)(B)</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ind w:left="2240" w:hanging="740"/>
        <w:spacing w:after="0"/>
        <w:tabs>
          <w:tab w:leader="none" w:pos="224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Financial Statements and Reports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399" w:firstLine="2249"/>
        <w:spacing w:after="0" w:line="234" w:lineRule="auto"/>
        <w:tabs>
          <w:tab w:leader="none" w:pos="2621"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later than sixty (60) days after the end of each of the first three fiscal quarters of each fiscal year of the Borrower, (A) the unaudited consolidated balance sheet and related statements of income or operations, owners’ equity and cash flows of the Borrower and its Consolidated Subsidiaries as of the end of and for such fiscal quarter and the then elapsed portion of the fiscal year, setting forth in each case in comparative form to the figures for the corresponding period or periods of (or, in the case of the balance sheet, as of the end of) the previous fiscal year (if any) and (B) reports of newly entered and terminated Material Contracts (or material amendments, supplements, waivers or modifications thereto), operations, systems volumes (including actual volumes) and Average Daily Volumes by month in respect of such quarterly accounting period, to the extent such reports have not already been provided pursuant to </w:t>
      </w:r>
      <w:r>
        <w:rPr>
          <w:rFonts w:ascii="Times New Roman" w:cs="Times New Roman" w:eastAsia="Times New Roman" w:hAnsi="Times New Roman"/>
          <w:sz w:val="22"/>
          <w:szCs w:val="22"/>
          <w:u w:val="single" w:color="auto"/>
          <w:color w:val="auto"/>
        </w:rPr>
        <w:t>Section 8.01(b)(ii)(B)</w:t>
      </w: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color w:val="auto"/>
        </w:rPr>
      </w:pPr>
    </w:p>
    <w:p>
      <w:pPr>
        <w:jc w:val="both"/>
        <w:ind w:right="399" w:firstLine="2249"/>
        <w:spacing w:after="0" w:line="241" w:lineRule="auto"/>
        <w:tabs>
          <w:tab w:leader="none" w:pos="2621"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(x) sixty (60) days after the end of each of the first three fiscal quarters of each fiscal year of the Borrower and (y) one hundred twenty</w:t>
      </w:r>
    </w:p>
    <w:p>
      <w:pPr>
        <w:spacing w:after="0" w:line="1" w:lineRule="exact"/>
        <w:rPr>
          <w:rFonts w:ascii="Times New Roman" w:cs="Times New Roman" w:eastAsia="Times New Roman" w:hAnsi="Times New Roman"/>
          <w:sz w:val="22"/>
          <w:szCs w:val="22"/>
          <w:color w:val="auto"/>
        </w:rPr>
      </w:pPr>
    </w:p>
    <w:p>
      <w:pPr>
        <w:ind w:right="419" w:firstLine="2"/>
        <w:spacing w:after="0" w:line="231" w:lineRule="auto"/>
        <w:tabs>
          <w:tab w:leader="none" w:pos="53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end of the last fiscal quarter of each fiscal year of the Borrower, reports of Marketing Activities during such fiscal quarter, including each of the following: (A) a</w:t>
      </w:r>
    </w:p>
    <w:p>
      <w:pPr>
        <w:spacing w:after="0" w:line="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48" w:right="1440" w:bottom="1440" w:gutter="0" w:footer="0" w:header="0"/>
        </w:sectPr>
      </w:pPr>
    </w:p>
    <w:bookmarkStart w:id="130" w:name="page131"/>
    <w:bookmarkEnd w:id="130"/>
    <w:p>
      <w:pPr>
        <w:jc w:val="both"/>
        <w:ind w:right="399"/>
        <w:spacing w:after="0" w:line="236" w:lineRule="auto"/>
        <w:rPr>
          <w:sz w:val="20"/>
          <w:szCs w:val="20"/>
          <w:color w:val="auto"/>
        </w:rPr>
      </w:pPr>
      <w:r>
        <w:rPr>
          <w:rFonts w:ascii="Times New Roman" w:cs="Times New Roman" w:eastAsia="Times New Roman" w:hAnsi="Times New Roman"/>
          <w:sz w:val="22"/>
          <w:szCs w:val="22"/>
          <w:color w:val="auto"/>
        </w:rPr>
        <w:t>complete list of all Marketing Agreements that are greater than three (3) months in duration and cover the purchase and sale of greater than 10 MMcf/d and Hedging Agreements in respect of Hydrocarbons entered into or terminated during such fiscal quarter and the material terms thereof (including the type, delivery date, price, notional amounts or volumes and counterparties) and (B) calculations of the open natural gas position and the open basis position as of the last day of such fiscal quarter with respect to each future calendar month for which any Marketing Agreements were outstanding at such time.</w:t>
      </w:r>
    </w:p>
    <w:p>
      <w:pPr>
        <w:spacing w:after="0" w:line="181" w:lineRule="exact"/>
        <w:rPr>
          <w:sz w:val="20"/>
          <w:szCs w:val="20"/>
          <w:color w:val="auto"/>
        </w:rPr>
      </w:pPr>
    </w:p>
    <w:p>
      <w:pPr>
        <w:jc w:val="both"/>
        <w:ind w:right="399" w:firstLine="2245"/>
        <w:spacing w:after="0" w:line="236" w:lineRule="auto"/>
        <w:rPr>
          <w:sz w:val="20"/>
          <w:szCs w:val="20"/>
          <w:color w:val="auto"/>
        </w:rPr>
      </w:pPr>
      <w:r>
        <w:rPr>
          <w:rFonts w:ascii="Times New Roman" w:cs="Times New Roman" w:eastAsia="Times New Roman" w:hAnsi="Times New Roman"/>
          <w:sz w:val="22"/>
          <w:szCs w:val="22"/>
          <w:color w:val="auto"/>
        </w:rPr>
        <w:t xml:space="preserve">All of the foregoing financial statements required pursuant to </w:t>
      </w:r>
      <w:r>
        <w:rPr>
          <w:rFonts w:ascii="Times New Roman" w:cs="Times New Roman" w:eastAsia="Times New Roman" w:hAnsi="Times New Roman"/>
          <w:sz w:val="22"/>
          <w:szCs w:val="22"/>
          <w:u w:val="single" w:color="auto"/>
          <w:color w:val="auto"/>
        </w:rPr>
        <w:t>clause (b)(i)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shall be certified by a Financial Officer as presenting fairly in all material respects the financial position and results of operations of the Borrower and its Consolidated Subsidiaries, on a consolidated basis in accordance with GAAP consistently applied (except for changes in accounting principles and changes in accounting estimates required by GAAP), subject to normal year-end adjustments and the absence of footnotes.</w:t>
      </w:r>
    </w:p>
    <w:p>
      <w:pPr>
        <w:spacing w:after="0" w:line="181"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Annual Financial Projections</w:t>
      </w:r>
      <w:r>
        <w:rPr>
          <w:rFonts w:ascii="Times New Roman" w:cs="Times New Roman" w:eastAsia="Times New Roman" w:hAnsi="Times New Roman"/>
          <w:sz w:val="22"/>
          <w:szCs w:val="22"/>
          <w:color w:val="auto"/>
        </w:rPr>
        <w:t>. Within sixty (60) days after the last day of each fiscal year, an annual budget and forecast for the next fiscal year, including a cash flow and Capital Expenditure forecast, together with projections for the Borrower and its Consolidated Subsidiaries, including volumes and pricing assumptions, for each fiscal year of the Borrower through the end of the fiscal year in which the Maturity Date occurs.</w:t>
      </w:r>
    </w:p>
    <w:p>
      <w:pPr>
        <w:spacing w:after="0" w:line="177"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Certificate of Financial Officer – Compliance</w:t>
      </w:r>
      <w:r>
        <w:rPr>
          <w:rFonts w:ascii="Times New Roman" w:cs="Times New Roman" w:eastAsia="Times New Roman" w:hAnsi="Times New Roman"/>
          <w:sz w:val="22"/>
          <w:szCs w:val="22"/>
          <w:color w:val="auto"/>
        </w:rPr>
        <w:t xml:space="preserve">. Concurrently with any delivery of financial statements under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8.01(b)(i)</w:t>
      </w:r>
      <w:r>
        <w:rPr>
          <w:rFonts w:ascii="Times New Roman" w:cs="Times New Roman" w:eastAsia="Times New Roman" w:hAnsi="Times New Roman"/>
          <w:sz w:val="22"/>
          <w:szCs w:val="22"/>
          <w:color w:val="auto"/>
        </w:rPr>
        <w:t xml:space="preserve">, a certificate of a Financial Officer in substantially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hereto (i) certifying that such Financial Officer has reviewed the terms of this Agreement and the other Loan Documents and has made or caused to be made under his or her supervision, a review in reasonable detail of the financial position of the Borrower and its Consolidated Subsidiaries during the period covered by such financial statements, which review has not disclosed the existence during or at the end of such period of any condition, event or circumstance that constitutes a Default or, if a Default has occurred, specifying the details thereof and any action taken or proposed to be taken with respect thereto, (ii) stating whether any change in GAAP or in the application thereof that requires any change in the financial reporting of the Relevant Parties, or in any other accounting or financial reporting practices of the Relevant Parties, has occurred since the date of the financial statements referred to in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and, if any such change has occurred, specifying the effect of such change on the financial statements accompanying such certificate, and (iii) setting forth reasonably detailed calculations demonstrating compliance with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1"/>
          <w:szCs w:val="21"/>
          <w:color w:val="auto"/>
        </w:rPr>
        <w:t>(e)</w:t>
      </w:r>
      <w:r>
        <w:rPr>
          <w:rFonts w:ascii="Times New Roman" w:cs="Times New Roman" w:eastAsia="Times New Roman" w:hAnsi="Times New Roman"/>
          <w:sz w:val="21"/>
          <w:szCs w:val="21"/>
          <w:u w:val="single" w:color="auto"/>
          <w:color w:val="auto"/>
        </w:rPr>
        <w:t>Certificate of Financial Officer – Hedging Agreements</w:t>
      </w:r>
      <w:r>
        <w:rPr>
          <w:rFonts w:ascii="Times New Roman" w:cs="Times New Roman" w:eastAsia="Times New Roman" w:hAnsi="Times New Roman"/>
          <w:sz w:val="21"/>
          <w:szCs w:val="21"/>
          <w:color w:val="auto"/>
        </w:rPr>
        <w:t xml:space="preserve">. Concurrently with any delivery of financial statements under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(b)(i)</w:t>
      </w:r>
      <w:r>
        <w:rPr>
          <w:rFonts w:ascii="Times New Roman" w:cs="Times New Roman" w:eastAsia="Times New Roman" w:hAnsi="Times New Roman"/>
          <w:sz w:val="21"/>
          <w:szCs w:val="21"/>
          <w:color w:val="auto"/>
        </w:rPr>
        <w:t>, a certificate of a Financial Officer, in form and substance satisfactory to the Administrative Agent, setting forth as of the last Business Day of the relevant fiscal period, a true and complete list of all Hedging Agreements of the Borrower and each other Relevant Party, the material terms thereof (including the type, term, effective date, termination date and notional amounts or volumes), the estimated net mark-to-market value therefor, any new credit support agreements relating thereto (other than Security Instruments), any margin required or supplied under any credit support document (other than Security Instruments), and the counterparty to each such agreement.</w:t>
      </w:r>
    </w:p>
    <w:p>
      <w:pPr>
        <w:spacing w:after="0" w:line="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31" w:name="page132"/>
    <w:bookmarkEnd w:id="131"/>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u w:val="single" w:color="auto"/>
          <w:color w:val="auto"/>
        </w:rPr>
        <w:t>Certificate of Insurer – Insurance Coverage</w:t>
      </w:r>
      <w:r>
        <w:rPr>
          <w:rFonts w:ascii="Times New Roman" w:cs="Times New Roman" w:eastAsia="Times New Roman" w:hAnsi="Times New Roman"/>
          <w:sz w:val="22"/>
          <w:szCs w:val="22"/>
          <w:color w:val="auto"/>
        </w:rPr>
        <w:t xml:space="preserve">. Concurrently with any delivery of financial statements under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a certificate of insurance coverage from each insurer with respect to the insurance required by </w:t>
      </w:r>
      <w:r>
        <w:rPr>
          <w:rFonts w:ascii="Times New Roman" w:cs="Times New Roman" w:eastAsia="Times New Roman" w:hAnsi="Times New Roman"/>
          <w:sz w:val="22"/>
          <w:szCs w:val="22"/>
          <w:u w:val="single" w:color="auto"/>
          <w:color w:val="auto"/>
        </w:rPr>
        <w:t>Section 8.07</w:t>
      </w:r>
      <w:r>
        <w:rPr>
          <w:rFonts w:ascii="Times New Roman" w:cs="Times New Roman" w:eastAsia="Times New Roman" w:hAnsi="Times New Roman"/>
          <w:sz w:val="22"/>
          <w:szCs w:val="22"/>
          <w:color w:val="auto"/>
        </w:rPr>
        <w:t xml:space="preserve">, in form and substance satisfactory to the Administrative Agent, and, if requested by the Administrative Agent or any Lender, all copies of the applicable policies. In addition to delivery to the Administrative Agent in accordance with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all certificates of insurance coverage shall also be delivered to Wells Fargo Bank at the following address: Wells Fargo Bank, N.A. as Administrative Agent, ISAOA ATIMA, Attn: CUIT Department, MAC C7300-050, 1700 Lincoln Street, 5th Floor, Denver, CO 80203, with an email copy to wlscuit@wellsfargo.com.</w:t>
      </w:r>
    </w:p>
    <w:p>
      <w:pPr>
        <w:spacing w:after="0" w:line="178"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Notices Under Material Instruments</w:t>
      </w:r>
      <w:r>
        <w:rPr>
          <w:rFonts w:ascii="Times New Roman" w:cs="Times New Roman" w:eastAsia="Times New Roman" w:hAnsi="Times New Roman"/>
          <w:sz w:val="22"/>
          <w:szCs w:val="22"/>
          <w:color w:val="auto"/>
        </w:rPr>
        <w:t xml:space="preserve">. Promptly after the furnishing thereof, copies of any material financial statement, written material report or notice furnished to or by any Person pursuant to the terms of any preferred stock designation, or in connection with a default under any indenture, loan or credit or other similar agreement with respect to Material Indebtedness and not otherwise required to be furnished to the Administrative Agent pursuant to any other provision of this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22"/>
          <w:szCs w:val="22"/>
          <w:u w:val="single" w:color="auto"/>
          <w:color w:val="auto"/>
        </w:rPr>
        <w:t>Other Accounting Reports</w:t>
      </w:r>
      <w:r>
        <w:rPr>
          <w:rFonts w:ascii="Times New Roman" w:cs="Times New Roman" w:eastAsia="Times New Roman" w:hAnsi="Times New Roman"/>
          <w:sz w:val="22"/>
          <w:szCs w:val="22"/>
          <w:color w:val="auto"/>
        </w:rPr>
        <w:t xml:space="preserve">. Promptly upon receipt thereof, a copy of any management letter or written report that is submitted to the Borrower or any of its Restricted Subsidiaries from an independent public accountant in connection with an annual, interim or special audit with respect to the business, financial condition or operations of the Borrower or any of its Restricted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independent public accountant permits the Borrower or any of its Restricted Subsidiaries, as applicable, to share a copy of such management letter or written report to Administrative Agent and Lenders.</w:t>
      </w:r>
    </w:p>
    <w:p>
      <w:pPr>
        <w:spacing w:after="0" w:line="183" w:lineRule="exact"/>
        <w:rPr>
          <w:sz w:val="20"/>
          <w:szCs w:val="20"/>
          <w:color w:val="auto"/>
        </w:rPr>
      </w:pPr>
    </w:p>
    <w:p>
      <w:pPr>
        <w:ind w:left="2240" w:hanging="740"/>
        <w:spacing w:after="0"/>
        <w:tabs>
          <w:tab w:leader="none" w:pos="224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Regarding Loan Parties</w:t>
      </w:r>
      <w:r>
        <w:rPr>
          <w:rFonts w:ascii="Times New Roman" w:cs="Times New Roman" w:eastAsia="Times New Roman" w:hAnsi="Times New Roman"/>
          <w:sz w:val="22"/>
          <w:szCs w:val="22"/>
          <w:color w:val="auto"/>
        </w:rPr>
        <w:t>. Prior written notice of any change</w:t>
      </w:r>
    </w:p>
    <w:p>
      <w:pPr>
        <w:spacing w:after="0" w:line="14" w:lineRule="exact"/>
        <w:rPr>
          <w:rFonts w:ascii="Times New Roman" w:cs="Times New Roman" w:eastAsia="Times New Roman" w:hAnsi="Times New Roman"/>
          <w:sz w:val="22"/>
          <w:szCs w:val="22"/>
          <w:color w:val="auto"/>
        </w:rPr>
      </w:pPr>
    </w:p>
    <w:p>
      <w:pPr>
        <w:jc w:val="both"/>
        <w:ind w:right="399" w:firstLine="2"/>
        <w:spacing w:after="0" w:line="232" w:lineRule="auto"/>
        <w:tabs>
          <w:tab w:leader="none" w:pos="26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Loan Party’s corporate, limited liability company or partnership name or in any trade name used to identify such Person in the conduct of its business or in the ownership of its Properties, (ii) in the location of any Loan Party’s chief executive office or principal place of business, (iii) in any Loan Party’s identity or corporate, limited liability company or partnership structure or in the jurisdiction in which such Person is incorporated or formed, (iv) in any Loan Party’s jurisdiction of organization or such Person’s organizational identification number in such jurisdiction of organization, and (v) in any Loan Party’s federal taxpayer identification number.</w:t>
      </w:r>
    </w:p>
    <w:p>
      <w:pPr>
        <w:spacing w:after="0" w:line="181"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(j)</w:t>
      </w:r>
      <w:r>
        <w:rPr>
          <w:rFonts w:ascii="Times New Roman" w:cs="Times New Roman" w:eastAsia="Times New Roman" w:hAnsi="Times New Roman"/>
          <w:sz w:val="22"/>
          <w:szCs w:val="22"/>
          <w:u w:val="single" w:color="auto"/>
          <w:color w:val="auto"/>
        </w:rPr>
        <w:t>Notices of Certain Changes</w:t>
      </w:r>
      <w:r>
        <w:rPr>
          <w:rFonts w:ascii="Times New Roman" w:cs="Times New Roman" w:eastAsia="Times New Roman" w:hAnsi="Times New Roman"/>
          <w:sz w:val="22"/>
          <w:szCs w:val="22"/>
          <w:color w:val="auto"/>
        </w:rPr>
        <w:t>. Promptly, but in any event within five (5) Business Days after the execution thereof (or such later date as agreed by the Administrative Agent in its sole discretion), copies of any amendment, modification or supplement to the certificate or articles of formation, operating agreement, any preferred equity designation or any other Organization Document of the Borrower or any other Loan Party.</w:t>
      </w:r>
    </w:p>
    <w:p>
      <w:pPr>
        <w:spacing w:after="0" w:line="177"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22"/>
          <w:szCs w:val="22"/>
          <w:u w:val="single" w:color="auto"/>
          <w:color w:val="auto"/>
        </w:rPr>
        <w:t>Regulatory Notices</w:t>
      </w:r>
      <w:r>
        <w:rPr>
          <w:rFonts w:ascii="Times New Roman" w:cs="Times New Roman" w:eastAsia="Times New Roman" w:hAnsi="Times New Roman"/>
          <w:sz w:val="22"/>
          <w:szCs w:val="22"/>
          <w:color w:val="auto"/>
        </w:rPr>
        <w:t>. Promptly, but in any event within five (5) Business Days after receipt thereof by any Relevant Party, (or such later date as agreed by the Administrative Agent in its sole discretion), a copy of any material and written notice, summons, citation, proceeding or order received from FERC or any other Governmental Authority concerning the regulation of any material portion of the Gathering Systems.</w:t>
      </w:r>
    </w:p>
    <w:p>
      <w:pPr>
        <w:spacing w:after="0" w:line="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32" w:name="page133"/>
    <w:bookmarkEnd w:id="132"/>
    <w:p>
      <w:pPr>
        <w:jc w:val="both"/>
        <w:ind w:right="399" w:firstLine="1500"/>
        <w:spacing w:after="0" w:line="235" w:lineRule="auto"/>
        <w:tabs>
          <w:tab w:leader="none" w:pos="1765"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of Financial Officer — Consolidating Information</w:t>
      </w:r>
      <w:r>
        <w:rPr>
          <w:rFonts w:ascii="Times New Roman" w:cs="Times New Roman" w:eastAsia="Times New Roman" w:hAnsi="Times New Roman"/>
          <w:sz w:val="22"/>
          <w:szCs w:val="22"/>
          <w:color w:val="auto"/>
        </w:rPr>
        <w:t xml:space="preserve">. If, at any time all of the Subsidiaries of the Borrower are not Consolidated Subsidiaries, then concurrently with any delivery of financial statements under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8.01(b)</w:t>
      </w:r>
      <w:r>
        <w:rPr>
          <w:rFonts w:ascii="Times New Roman" w:cs="Times New Roman" w:eastAsia="Times New Roman" w:hAnsi="Times New Roman"/>
          <w:sz w:val="22"/>
          <w:szCs w:val="22"/>
          <w:color w:val="auto"/>
        </w:rPr>
        <w:t>, a certificate of a Responsible Officer setting forth consolidating spreadsheets and other supplemental financial information in form and detail reasonably acceptable to the Administrative Agent necessary to eliminate the accounts of any Unrestricted Subsidiary or other Person other than the Borrower and its Consolidated Subsidiaries (if any) from such consolidated financial statements.</w:t>
      </w:r>
    </w:p>
    <w:p>
      <w:pPr>
        <w:spacing w:after="0" w:line="183" w:lineRule="exact"/>
        <w:rPr>
          <w:rFonts w:ascii="Times New Roman" w:cs="Times New Roman" w:eastAsia="Times New Roman" w:hAnsi="Times New Roman"/>
          <w:sz w:val="22"/>
          <w:szCs w:val="22"/>
          <w:color w:val="auto"/>
        </w:rPr>
      </w:pPr>
    </w:p>
    <w:p>
      <w:pPr>
        <w:jc w:val="both"/>
        <w:ind w:right="399" w:firstLine="1500"/>
        <w:spacing w:after="0" w:line="238" w:lineRule="auto"/>
        <w:tabs>
          <w:tab w:leader="none" w:pos="1898"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Modifications to Specified Material Contracts</w:t>
      </w:r>
      <w:r>
        <w:rPr>
          <w:rFonts w:ascii="Times New Roman" w:cs="Times New Roman" w:eastAsia="Times New Roman" w:hAnsi="Times New Roman"/>
          <w:sz w:val="22"/>
          <w:szCs w:val="22"/>
          <w:color w:val="auto"/>
        </w:rPr>
        <w:t>. Promptly, and no later than five (5) Business Days after (i) the execution thereof, copies of any amendment, supplement, waiver or modification of any Specified Material Contract (or provision thereof) and</w:t>
      </w:r>
    </w:p>
    <w:p>
      <w:pPr>
        <w:ind w:left="320" w:hanging="318"/>
        <w:spacing w:after="0"/>
        <w:tabs>
          <w:tab w:leader="none" w:pos="3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any Specified Material Contract.</w:t>
      </w:r>
    </w:p>
    <w:p>
      <w:pPr>
        <w:spacing w:after="0" w:line="182"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22"/>
          <w:szCs w:val="22"/>
          <w:u w:val="single" w:color="auto"/>
          <w:color w:val="auto"/>
        </w:rPr>
        <w:t>Deposit Accounts, Commodity Accounts and Securities Accounts</w:t>
      </w:r>
      <w:r>
        <w:rPr>
          <w:rFonts w:ascii="Times New Roman" w:cs="Times New Roman" w:eastAsia="Times New Roman" w:hAnsi="Times New Roman"/>
          <w:sz w:val="22"/>
          <w:szCs w:val="22"/>
          <w:color w:val="auto"/>
        </w:rPr>
        <w:t xml:space="preserve">. Prior to the opening thereof, written notice (such notice to include reasonably detailed information regarding the account number, purpose and location of such Deposit Account, Securities Account or Commodity Account) to the Administrative Agent of any Deposit Account, Securities Account or Commodity Account opened by the Borrower or any of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or such Subsidiary shall at all times comply with </w:t>
      </w:r>
      <w:r>
        <w:rPr>
          <w:rFonts w:ascii="Times New Roman" w:cs="Times New Roman" w:eastAsia="Times New Roman" w:hAnsi="Times New Roman"/>
          <w:sz w:val="22"/>
          <w:szCs w:val="22"/>
          <w:u w:val="single" w:color="auto"/>
          <w:color w:val="auto"/>
        </w:rPr>
        <w:t>Section 8.19</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22"/>
          <w:szCs w:val="22"/>
          <w:u w:val="single" w:color="auto"/>
          <w:color w:val="auto"/>
        </w:rPr>
        <w:t>Subsidiaries, Etc.</w:t>
      </w:r>
      <w:r>
        <w:rPr>
          <w:rFonts w:ascii="Times New Roman" w:cs="Times New Roman" w:eastAsia="Times New Roman" w:hAnsi="Times New Roman"/>
          <w:sz w:val="22"/>
          <w:szCs w:val="22"/>
          <w:color w:val="auto"/>
        </w:rPr>
        <w:t xml:space="preserve"> If the Borrower or any Restricted Subsidiary has (subject to the requirements and limitations of this Agreement and the other Loan Documents) formed or acquired a new Restricted Subsidiary or Disposed of or dissolved a Restricted Subsidiary, or redesignated an Unrestricted Subsidiary as a Restricted Subsidiary or a Restricted Subsidiary as an Unrestricted Subsidiary (in each case, in accordance with </w:t>
      </w:r>
      <w:r>
        <w:rPr>
          <w:rFonts w:ascii="Times New Roman" w:cs="Times New Roman" w:eastAsia="Times New Roman" w:hAnsi="Times New Roman"/>
          <w:sz w:val="22"/>
          <w:szCs w:val="22"/>
          <w:u w:val="single" w:color="auto"/>
          <w:color w:val="auto"/>
        </w:rPr>
        <w:t>Section 8.17</w:t>
      </w:r>
      <w:r>
        <w:rPr>
          <w:rFonts w:ascii="Times New Roman" w:cs="Times New Roman" w:eastAsia="Times New Roman" w:hAnsi="Times New Roman"/>
          <w:sz w:val="22"/>
          <w:szCs w:val="22"/>
          <w:color w:val="auto"/>
        </w:rPr>
        <w:t xml:space="preserve">), or made any additional equity investment in any Person or Disposed of any equity investment in any Person, in each case, since the date of the most recently delivered schedule, a substitute (or supplement to) </w:t>
      </w:r>
      <w:r>
        <w:rPr>
          <w:rFonts w:ascii="Times New Roman" w:cs="Times New Roman" w:eastAsia="Times New Roman" w:hAnsi="Times New Roman"/>
          <w:sz w:val="22"/>
          <w:szCs w:val="22"/>
          <w:u w:val="single" w:color="auto"/>
          <w:color w:val="auto"/>
        </w:rPr>
        <w:t>Schedule 7.14</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right="399" w:firstLine="1498"/>
        <w:spacing w:after="0" w:line="246" w:lineRule="auto"/>
        <w:rPr>
          <w:sz w:val="20"/>
          <w:szCs w:val="20"/>
          <w:color w:val="auto"/>
        </w:rPr>
      </w:pPr>
      <w:r>
        <w:rPr>
          <w:rFonts w:ascii="Times New Roman" w:cs="Times New Roman" w:eastAsia="Times New Roman" w:hAnsi="Times New Roman"/>
          <w:sz w:val="21"/>
          <w:szCs w:val="21"/>
          <w:color w:val="auto"/>
        </w:rPr>
        <w:t>(p)</w:t>
      </w:r>
      <w:r>
        <w:rPr>
          <w:rFonts w:ascii="Times New Roman" w:cs="Times New Roman" w:eastAsia="Times New Roman" w:hAnsi="Times New Roman"/>
          <w:sz w:val="21"/>
          <w:szCs w:val="21"/>
          <w:u w:val="single" w:color="auto"/>
          <w:color w:val="auto"/>
        </w:rPr>
        <w:t>Sale or Issuance of Borrower’s Equity Interests</w:t>
      </w:r>
      <w:r>
        <w:rPr>
          <w:rFonts w:ascii="Times New Roman" w:cs="Times New Roman" w:eastAsia="Times New Roman" w:hAnsi="Times New Roman"/>
          <w:sz w:val="21"/>
          <w:szCs w:val="21"/>
          <w:color w:val="auto"/>
        </w:rPr>
        <w:t>. No later than ten (10) Business Days (or such shorter period as the Administrative Agent may agree in its sole discretion) prior written notice of any sale or issuance of any Equity Interests in the Borrower to any “person” or “group” (within the meaning of the Securities Exchange Act of 1934 and the rules of the SEC thereunder as in effect on the date hereof) other than Comstock or a wholly-owned Subsidiary of Comstock (a “</w:t>
      </w:r>
      <w:r>
        <w:rPr>
          <w:rFonts w:ascii="Times New Roman" w:cs="Times New Roman" w:eastAsia="Times New Roman" w:hAnsi="Times New Roman"/>
          <w:sz w:val="21"/>
          <w:szCs w:val="21"/>
          <w:u w:val="single" w:color="auto"/>
          <w:color w:val="auto"/>
        </w:rPr>
        <w:t>New Equityholder</w:t>
      </w:r>
      <w:r>
        <w:rPr>
          <w:rFonts w:ascii="Times New Roman" w:cs="Times New Roman" w:eastAsia="Times New Roman" w:hAnsi="Times New Roman"/>
          <w:sz w:val="21"/>
          <w:szCs w:val="21"/>
          <w:color w:val="auto"/>
        </w:rPr>
        <w:t>”) if, immediately after giving effect to such issuance or sale such New Equityholder would, directly or indirectly, beneficially or of record, own 25% or more of the aggregate ordinary voting power or economic interests represented by the issued and outstanding Equity Interests in the Borrower (determined based on the issued and outstanding Equity Interests in the Borrower immediately after giving effect to such issuance or sale).</w:t>
      </w:r>
    </w:p>
    <w:p>
      <w:pPr>
        <w:spacing w:after="0" w:line="175"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(q)</w:t>
      </w:r>
      <w:r>
        <w:rPr>
          <w:rFonts w:ascii="Times New Roman" w:cs="Times New Roman" w:eastAsia="Times New Roman" w:hAnsi="Times New Roman"/>
          <w:sz w:val="22"/>
          <w:szCs w:val="22"/>
          <w:u w:val="single" w:color="auto"/>
          <w:color w:val="auto"/>
        </w:rPr>
        <w:t>Other Requested Information</w:t>
      </w:r>
      <w:r>
        <w:rPr>
          <w:rFonts w:ascii="Times New Roman" w:cs="Times New Roman" w:eastAsia="Times New Roman" w:hAnsi="Times New Roman"/>
          <w:sz w:val="22"/>
          <w:szCs w:val="22"/>
          <w:color w:val="auto"/>
        </w:rPr>
        <w:t>. Promptly following any reasonable request therefor, such other information regarding the operations, business affairs and financial condition of the Borrower or any other Relevant Party (including, without limitation, any Plan and any reports or other information required to be filed with respect thereto under the Code or under ERISA), or compliance with the terms of this Agreement or any other Loan Document, as the Administrative Agent or any Lender (through the Administrative Agent) may reasonably request, including, without limitation, all such information disclosure requests made by any Lender to</w:t>
      </w:r>
    </w:p>
    <w:p>
      <w:pPr>
        <w:spacing w:after="0" w:line="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33" w:name="page134"/>
    <w:bookmarkEnd w:id="133"/>
    <w:p>
      <w:pPr>
        <w:ind w:right="1079"/>
        <w:spacing w:after="0" w:line="258" w:lineRule="auto"/>
        <w:rPr>
          <w:sz w:val="20"/>
          <w:szCs w:val="20"/>
          <w:color w:val="auto"/>
        </w:rPr>
      </w:pPr>
      <w:r>
        <w:rPr>
          <w:rFonts w:ascii="Times New Roman" w:cs="Times New Roman" w:eastAsia="Times New Roman" w:hAnsi="Times New Roman"/>
          <w:sz w:val="22"/>
          <w:szCs w:val="22"/>
          <w:color w:val="auto"/>
        </w:rPr>
        <w:t>comply with the requirements of applicable “know your customer” and anti-money laundering laws, including, without limitation, the PATRIOT Act and the Beneficial Ownership Regulation.</w:t>
      </w:r>
    </w:p>
    <w:p>
      <w:pPr>
        <w:spacing w:after="0" w:line="158"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Notices of Material Events</w:t>
      </w:r>
      <w:r>
        <w:rPr>
          <w:rFonts w:ascii="Times New Roman" w:cs="Times New Roman" w:eastAsia="Times New Roman" w:hAnsi="Times New Roman"/>
          <w:sz w:val="22"/>
          <w:szCs w:val="22"/>
          <w:color w:val="auto"/>
        </w:rPr>
        <w:t>. The Borrower will furnish to the Administrative Agent (which shall furnish such notice and information to the Lenders) prompt written notice of the following upon becoming aware of the same:</w:t>
      </w:r>
    </w:p>
    <w:p>
      <w:pPr>
        <w:spacing w:after="0" w:line="173" w:lineRule="exact"/>
        <w:rPr>
          <w:sz w:val="20"/>
          <w:szCs w:val="20"/>
          <w:color w:val="auto"/>
        </w:rPr>
      </w:pPr>
    </w:p>
    <w:p>
      <w:pPr>
        <w:ind w:left="2240" w:hanging="740"/>
        <w:spacing w:after="0"/>
        <w:tabs>
          <w:tab w:leader="none" w:pos="22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w:t>
      </w:r>
    </w:p>
    <w:p>
      <w:pPr>
        <w:spacing w:after="0" w:line="206"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(b)the filing or commencement of, or the threat in writing of, any action, suit, proceeding, investigation or arbitration by or before any arbitrator or Governmental Authority against or affecting the Borrower or any other Relevant Party not previously disclosed in writing to the Lenders or any material adverse development in any action, suit, proceeding, investigation or arbitration (whether or not previously disclosed to the Lenders) that, in either case, if adversely determined, could reasonably be expected to result in liability to the Borrower and the other Relevant Parties in excess of $10,000,000, not fully covered by insurance, subject to normal deductibles;</w:t>
      </w:r>
    </w:p>
    <w:p>
      <w:pPr>
        <w:spacing w:after="0" w:line="183"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(c)the occurrence of any ERISA Event that, alone or together with any other ERISA Events that have occurred, would reasonably be expected to result liability of the Borrower and the other Loan Parties in an aggregate amount exceeding $10,000,000;</w:t>
      </w:r>
    </w:p>
    <w:p>
      <w:pPr>
        <w:spacing w:after="0" w:line="173"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(d)any other development that results in, or would reasonably be expected to result in, a Material Adverse Effect;</w:t>
      </w:r>
    </w:p>
    <w:p>
      <w:pPr>
        <w:spacing w:after="0" w:line="158"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(e)the receipt by any Relevant Party of any environmental site assessment reports, investigations, studies, analyses or other correspondence on environmental matters (including matters relating to any alleged non-compliance with or liability under Environmental Laws) related to any Relevant Party’s Properties or operations thereon, which reports, investigation, studies, analyses or other correspondence, individually or in the aggregate, show liabilities or obligations arising under Environmental Law that would reasonably be expected to result in a Material Adverse Effect;</w:t>
      </w:r>
    </w:p>
    <w:p>
      <w:pPr>
        <w:spacing w:after="0" w:line="181" w:lineRule="exact"/>
        <w:rPr>
          <w:sz w:val="20"/>
          <w:szCs w:val="20"/>
          <w:color w:val="auto"/>
        </w:rPr>
      </w:pPr>
    </w:p>
    <w:p>
      <w:pPr>
        <w:ind w:left="2240" w:hanging="740"/>
        <w:spacing w:after="0"/>
        <w:tabs>
          <w:tab w:leader="none" w:pos="22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any Relevant Party of any cash proceeds in excess of</w:t>
      </w:r>
    </w:p>
    <w:p>
      <w:pPr>
        <w:spacing w:after="0" w:line="14" w:lineRule="exact"/>
        <w:rPr>
          <w:sz w:val="20"/>
          <w:szCs w:val="20"/>
          <w:color w:val="auto"/>
        </w:rPr>
      </w:pPr>
    </w:p>
    <w:p>
      <w:pPr>
        <w:jc w:val="both"/>
        <w:ind w:right="399"/>
        <w:spacing w:after="0" w:line="235" w:lineRule="auto"/>
        <w:rPr>
          <w:sz w:val="20"/>
          <w:szCs w:val="20"/>
          <w:color w:val="auto"/>
        </w:rPr>
      </w:pPr>
      <w:r>
        <w:rPr>
          <w:rFonts w:ascii="Times New Roman" w:cs="Times New Roman" w:eastAsia="Times New Roman" w:hAnsi="Times New Roman"/>
          <w:sz w:val="22"/>
          <w:szCs w:val="22"/>
          <w:color w:val="auto"/>
        </w:rPr>
        <w:t xml:space="preserve">$5,000,000 from any Disposition made pursuant to </w:t>
      </w:r>
      <w:r>
        <w:rPr>
          <w:rFonts w:ascii="Times New Roman" w:cs="Times New Roman" w:eastAsia="Times New Roman" w:hAnsi="Times New Roman"/>
          <w:sz w:val="22"/>
          <w:szCs w:val="22"/>
          <w:u w:val="single" w:color="auto"/>
          <w:color w:val="auto"/>
        </w:rPr>
        <w:t>Section 9.11(f)</w:t>
      </w:r>
      <w:r>
        <w:rPr>
          <w:rFonts w:ascii="Times New Roman" w:cs="Times New Roman" w:eastAsia="Times New Roman" w:hAnsi="Times New Roman"/>
          <w:sz w:val="22"/>
          <w:szCs w:val="22"/>
          <w:color w:val="auto"/>
        </w:rPr>
        <w:t xml:space="preserve"> or from any Recovery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notices of receipt of cash proceeds from any Disposition or any Recovery Event shall only be required during the existence and continuation of an Event of Default;</w:t>
      </w:r>
    </w:p>
    <w:p>
      <w:pPr>
        <w:spacing w:after="0" w:line="178"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(g)any material breach under or termination of any Material Contract, in each case by any Person party thereto; and</w:t>
      </w:r>
    </w:p>
    <w:p>
      <w:pPr>
        <w:spacing w:after="0" w:line="158" w:lineRule="exact"/>
        <w:rPr>
          <w:sz w:val="20"/>
          <w:szCs w:val="20"/>
          <w:color w:val="auto"/>
        </w:rPr>
      </w:pPr>
    </w:p>
    <w:p>
      <w:pPr>
        <w:ind w:right="399" w:firstLine="1498"/>
        <w:spacing w:after="0" w:line="246" w:lineRule="auto"/>
        <w:rPr>
          <w:sz w:val="20"/>
          <w:szCs w:val="20"/>
          <w:color w:val="auto"/>
        </w:rPr>
      </w:pPr>
      <w:r>
        <w:rPr>
          <w:rFonts w:ascii="Times New Roman" w:cs="Times New Roman" w:eastAsia="Times New Roman" w:hAnsi="Times New Roman"/>
          <w:sz w:val="22"/>
          <w:szCs w:val="22"/>
          <w:color w:val="auto"/>
        </w:rPr>
        <w:t>(h)any change in the information provided in the Beneficial Ownership Certification that would result in a change to the list of beneficial owners identified in parts (c) or (d) of such certification.</w:t>
      </w:r>
    </w:p>
    <w:p>
      <w:pPr>
        <w:spacing w:after="0" w:line="200" w:lineRule="exact"/>
        <w:rPr>
          <w:sz w:val="20"/>
          <w:szCs w:val="20"/>
          <w:color w:val="auto"/>
        </w:rPr>
      </w:pPr>
    </w:p>
    <w:p>
      <w:pPr>
        <w:spacing w:after="0" w:line="226" w:lineRule="exact"/>
        <w:rPr>
          <w:sz w:val="20"/>
          <w:szCs w:val="20"/>
          <w:color w:val="auto"/>
        </w:rPr>
      </w:pPr>
    </w:p>
    <w:p>
      <w:pPr>
        <w:jc w:val="both"/>
        <w:ind w:right="399"/>
        <w:spacing w:after="0" w:line="238" w:lineRule="auto"/>
        <w:rPr>
          <w:sz w:val="20"/>
          <w:szCs w:val="20"/>
          <w:color w:val="auto"/>
        </w:rPr>
      </w:pPr>
      <w:r>
        <w:rPr>
          <w:rFonts w:ascii="Times New Roman" w:cs="Times New Roman" w:eastAsia="Times New Roman" w:hAnsi="Times New Roman"/>
          <w:sz w:val="22"/>
          <w:szCs w:val="22"/>
          <w:color w:val="auto"/>
        </w:rPr>
        <w:t xml:space="preserve">Each notice delivered under this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shall be accompanied by a statement of a Responsible Officer of the Borrower setting forth the details of the event or development requiring such notice and any action taken or proposed to be taken with respect thereto.</w:t>
      </w:r>
    </w:p>
    <w:p>
      <w:pPr>
        <w:spacing w:after="0" w:line="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34" w:name="page135"/>
    <w:bookmarkEnd w:id="134"/>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Existence; Conduct of Business</w:t>
      </w:r>
      <w:r>
        <w:rPr>
          <w:rFonts w:ascii="Times New Roman" w:cs="Times New Roman" w:eastAsia="Times New Roman" w:hAnsi="Times New Roman"/>
          <w:sz w:val="22"/>
          <w:szCs w:val="22"/>
          <w:color w:val="auto"/>
        </w:rPr>
        <w:t xml:space="preserve">. The Borrower will, and will cause each other Relevant Party to, do or cause to be done all things necessary to preserve, renew and keep in full force and effect its legal existence and the rights, licenses, permits, consents, privileges and franchises material to the conduct of its business and maintain, if necessary, its qualification to do business in each other jurisdiction in which its Properties are located or the ownership of its Properties requires such qualification, except where the failure to so qualify would not reasonably be expected to result in a Material Adverse Effect;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foregoing shall not prohibit any merger, consolidation, liquidation or dissolution permitted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under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 xml:space="preserve"> or any disposition permitted under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The Borrower will, and will cause each other Relevant Party to, pay the Tax liabilities of the Borrower and such other Relevant Party before the same shall become delinquent or in default, except where (a) the validity or amount thereof is being contested in good faith by appropriate proceedings, (b) the Borrower or such Relevant Party has set aside on its books adequate reserves with respect thereto in accordance with GAAP and</w:t>
      </w:r>
    </w:p>
    <w:p>
      <w:pPr>
        <w:ind w:right="399" w:firstLine="2"/>
        <w:spacing w:after="0" w:line="237" w:lineRule="auto"/>
        <w:tabs>
          <w:tab w:leader="none" w:pos="33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to make payment pending such contest could not reasonably be expected to result in a Material Adverse Effect.</w:t>
      </w:r>
    </w:p>
    <w:p>
      <w:pPr>
        <w:spacing w:after="0" w:line="178"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Performance of Obligations under Loan Documents</w:t>
      </w:r>
      <w:r>
        <w:rPr>
          <w:rFonts w:ascii="Times New Roman" w:cs="Times New Roman" w:eastAsia="Times New Roman" w:hAnsi="Times New Roman"/>
          <w:sz w:val="22"/>
          <w:szCs w:val="22"/>
          <w:color w:val="auto"/>
        </w:rPr>
        <w:t>. The Borrower will repay the Loans according to the terms thereof, and the Borrower will, and will cause each other Relevant Party to, do and perform every act and discharge all of the obligations required to be performed and discharged by them under the Loan Documents, including, without limitation, this Agreement, at or within the time or times and in the manner specified herein or therein.</w:t>
      </w:r>
    </w:p>
    <w:p>
      <w:pPr>
        <w:spacing w:after="0" w:line="177"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Operation and Maintenance of Properties</w:t>
      </w:r>
      <w:r>
        <w:rPr>
          <w:rFonts w:ascii="Times New Roman" w:cs="Times New Roman" w:eastAsia="Times New Roman" w:hAnsi="Times New Roman"/>
          <w:sz w:val="22"/>
          <w:szCs w:val="22"/>
          <w:color w:val="auto"/>
        </w:rPr>
        <w:t>. The Borrower, at its own expense, will, and will cause each other Relevant Party to:</w:t>
      </w:r>
    </w:p>
    <w:p>
      <w:pPr>
        <w:spacing w:after="0" w:line="158"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(a)operate its Properties or cause such Properties to be operated in a careful and efficient manner in accordance with the customary practices of the industry and in compliance with all applicable contracts and agreements and in compliance with all applicable Governmental Requirements, except, in each case, where the failure to comply would not reasonably be expected to result in a Material Adverse Effect;</w:t>
      </w:r>
    </w:p>
    <w:p>
      <w:pPr>
        <w:spacing w:after="0" w:line="177" w:lineRule="exact"/>
        <w:rPr>
          <w:sz w:val="20"/>
          <w:szCs w:val="20"/>
          <w:color w:val="auto"/>
        </w:rPr>
      </w:pPr>
    </w:p>
    <w:p>
      <w:pPr>
        <w:jc w:val="both"/>
        <w:ind w:right="419" w:firstLine="1498"/>
        <w:spacing w:after="0" w:line="258" w:lineRule="auto"/>
        <w:rPr>
          <w:sz w:val="20"/>
          <w:szCs w:val="20"/>
          <w:color w:val="auto"/>
        </w:rPr>
      </w:pPr>
      <w:r>
        <w:rPr>
          <w:rFonts w:ascii="Times New Roman" w:cs="Times New Roman" w:eastAsia="Times New Roman" w:hAnsi="Times New Roman"/>
          <w:sz w:val="22"/>
          <w:szCs w:val="22"/>
          <w:color w:val="auto"/>
        </w:rPr>
        <w:t>(b)preserve, maintain and keep in good repair, condition, working order and efficiency (ordinary wear and tear excepted) all Property material to the conduct of its business;</w:t>
      </w:r>
    </w:p>
    <w:p>
      <w:pPr>
        <w:spacing w:after="0" w:line="158"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(c)promptly perform or make reasonable and customary efforts to cause to be performed, in all material respects, in accordance with customary industry standards, the obligations required by each and all material assignments, deeds, leases, sub-leases, contracts and agreements affecting its interests in its material Properties; and</w:t>
      </w:r>
    </w:p>
    <w:p>
      <w:pPr>
        <w:spacing w:after="0" w:line="180" w:lineRule="exact"/>
        <w:rPr>
          <w:sz w:val="20"/>
          <w:szCs w:val="20"/>
          <w:color w:val="auto"/>
        </w:rPr>
      </w:pPr>
    </w:p>
    <w:p>
      <w:pPr>
        <w:jc w:val="both"/>
        <w:ind w:right="399" w:firstLine="1498"/>
        <w:spacing w:after="0" w:line="243" w:lineRule="auto"/>
        <w:rPr>
          <w:sz w:val="20"/>
          <w:szCs w:val="20"/>
          <w:color w:val="auto"/>
        </w:rPr>
      </w:pPr>
      <w:r>
        <w:rPr>
          <w:rFonts w:ascii="Times New Roman" w:cs="Times New Roman" w:eastAsia="Times New Roman" w:hAnsi="Times New Roman"/>
          <w:sz w:val="22"/>
          <w:szCs w:val="22"/>
          <w:color w:val="auto"/>
        </w:rPr>
        <w:t xml:space="preserve">(d)to the extent neither the Borrower nor any other Relevant Party is the operator of any Property, use commercially reasonable efforts to cause the operator to comply with this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w:t>
      </w:r>
    </w:p>
    <w:p>
      <w:pPr>
        <w:ind w:left="5100"/>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35" w:name="page136"/>
    <w:bookmarkEnd w:id="135"/>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8.07</w:t>
      </w:r>
      <w:r>
        <w:rPr>
          <w:sz w:val="20"/>
          <w:szCs w:val="20"/>
          <w:color w:val="auto"/>
        </w:rPr>
        <w:tab/>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 xml:space="preserve">(a)The Borrower shall, and shall cause each Restricted Subsidiary to maintain, with financially sound and reputable insurance companies that are not Affiliates of the Borrower, insurance in such amounts and against such risks as are customarily maintained by companies of similar size engaged in the same or similar businesses operating in the same or similar locations. On or prior to the date specified in </w:t>
      </w:r>
      <w:r>
        <w:rPr>
          <w:rFonts w:ascii="Times New Roman" w:cs="Times New Roman" w:eastAsia="Times New Roman" w:hAnsi="Times New Roman"/>
          <w:sz w:val="22"/>
          <w:szCs w:val="22"/>
          <w:u w:val="single" w:color="auto"/>
          <w:color w:val="auto"/>
        </w:rPr>
        <w:t>Schedule 8.20</w:t>
      </w:r>
      <w:r>
        <w:rPr>
          <w:rFonts w:ascii="Times New Roman" w:cs="Times New Roman" w:eastAsia="Times New Roman" w:hAnsi="Times New Roman"/>
          <w:sz w:val="22"/>
          <w:szCs w:val="22"/>
          <w:color w:val="auto"/>
        </w:rPr>
        <w:t>, the Borrower shall cause each issuer of an insurance policy (other than insurance policies with respect to workman’s compensation and employer’s liability) to provide the Administrative Agent with an endorsement (i) showing the Administrative Agent as lenders’ loss payee with respect to each policy of property or casualty insurance and naming the Administrative Agent and each Lender as an additional insured with respect to each policy of general liability insurance, (ii) providing that thirty (30) days’ notice shall be given to the Administrative Agent prior to any cancellation of, material reduction or change in coverage provided by or other material modification to such policy (other than any cancellation for non-payment of premium, which shall be subject to ten (10) days’ prior notice) and (iii) reasonably acceptable in all other respects to the Administrative Agent.</w:t>
      </w:r>
    </w:p>
    <w:p>
      <w:pPr>
        <w:spacing w:after="0" w:line="182"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(b)With respect to each Building that is or will be subject to the Lien of any Mortgage and is located in a Special Flood Hazard Area (including any such Building owned by a Relevant Party with respect to which the Administrative Agent has not confirmed in writing that such Building will not be required to be Mortgaged Property), the Borrower will, and will cause each other Relevant Party to, obtain Flood Insurance in such total amount as the applicable Flood Insurance Regulations may require and otherwise in form and substance reasonably satisfactory to the Administrative Agent, and otherwise comply with Flood Insurance Regulations.</w:t>
      </w:r>
    </w:p>
    <w:p>
      <w:pPr>
        <w:spacing w:after="0" w:line="183" w:lineRule="exact"/>
        <w:rPr>
          <w:sz w:val="20"/>
          <w:szCs w:val="20"/>
          <w:color w:val="auto"/>
        </w:rPr>
      </w:pPr>
    </w:p>
    <w:p>
      <w:pPr>
        <w:jc w:val="both"/>
        <w:ind w:right="379" w:firstLine="747"/>
        <w:spacing w:after="0" w:line="242" w:lineRule="auto"/>
        <w:rPr>
          <w:sz w:val="20"/>
          <w:szCs w:val="20"/>
          <w:color w:val="auto"/>
        </w:rPr>
      </w:pPr>
      <w:r>
        <w:rPr>
          <w:rFonts w:ascii="Times New Roman" w:cs="Times New Roman" w:eastAsia="Times New Roman" w:hAnsi="Times New Roman"/>
          <w:sz w:val="21"/>
          <w:szCs w:val="21"/>
          <w:color w:val="auto"/>
        </w:rPr>
        <w:t xml:space="preserve">Section 8.08 </w:t>
      </w:r>
      <w:r>
        <w:rPr>
          <w:rFonts w:ascii="Times New Roman" w:cs="Times New Roman" w:eastAsia="Times New Roman" w:hAnsi="Times New Roman"/>
          <w:sz w:val="21"/>
          <w:szCs w:val="21"/>
          <w:u w:val="single" w:color="auto"/>
          <w:color w:val="auto"/>
        </w:rPr>
        <w:t>Books and Records; Inspection Rights</w:t>
      </w:r>
      <w:r>
        <w:rPr>
          <w:rFonts w:ascii="Times New Roman" w:cs="Times New Roman" w:eastAsia="Times New Roman" w:hAnsi="Times New Roman"/>
          <w:sz w:val="21"/>
          <w:szCs w:val="21"/>
          <w:color w:val="auto"/>
        </w:rPr>
        <w:t xml:space="preserve">. The Borrower will, and will cause each other Relevant Party to, keep proper books of record and account as needed to allow it to provide the financial statements and reports required hereunder. The Borrower will, and will cause each other Relevant Party to, permit any representatives designated by the Administrative Agent, upon reasonable prior written (including by email) notice, to visit and inspect its Properties, to examine and make extracts from its books and records, and to discuss its affairs, finances and condition with its Responsible Officers and independent accountants, all at such reasonable times during normal business hours and as often as reasonably requested;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other than when an Event of Default has occurred and is continuing such visits and inspections shall not be permitted more than once during any 365-day period and (ii) a Responsible Officer shall be given the opportunity to be present during any inspection. All such inspections or audits by the Administrative Agent conducted in accordance with this </w:t>
      </w:r>
      <w:r>
        <w:rPr>
          <w:rFonts w:ascii="Times New Roman" w:cs="Times New Roman" w:eastAsia="Times New Roman" w:hAnsi="Times New Roman"/>
          <w:sz w:val="21"/>
          <w:szCs w:val="21"/>
          <w:u w:val="single" w:color="auto"/>
          <w:color w:val="auto"/>
        </w:rPr>
        <w:t>Section 8.08</w:t>
      </w:r>
      <w:r>
        <w:rPr>
          <w:rFonts w:ascii="Times New Roman" w:cs="Times New Roman" w:eastAsia="Times New Roman" w:hAnsi="Times New Roman"/>
          <w:sz w:val="21"/>
          <w:szCs w:val="21"/>
          <w:color w:val="auto"/>
        </w:rPr>
        <w:t xml:space="preserve"> shall be at the Borrower’s reasonable expense. The Borrower hereby authorizes and instructs its independent accountants to discuss the Borrower’s affairs, finances and condition with the Administrative Agent, at the Administrative Agent’s request. The Administrative Agent shall give the Borrower the opportunity to participate in any discussions with the Borrower’s independent public accountants. Notwithstanding anything to the contrary in this </w:t>
      </w:r>
      <w:r>
        <w:rPr>
          <w:rFonts w:ascii="Times New Roman" w:cs="Times New Roman" w:eastAsia="Times New Roman" w:hAnsi="Times New Roman"/>
          <w:sz w:val="21"/>
          <w:szCs w:val="21"/>
          <w:u w:val="single" w:color="auto"/>
          <w:color w:val="auto"/>
        </w:rPr>
        <w:t>Section 8.08</w:t>
      </w:r>
      <w:r>
        <w:rPr>
          <w:rFonts w:ascii="Times New Roman" w:cs="Times New Roman" w:eastAsia="Times New Roman" w:hAnsi="Times New Roman"/>
          <w:sz w:val="21"/>
          <w:szCs w:val="21"/>
          <w:color w:val="auto"/>
        </w:rPr>
        <w:t>, none of the Borrower nor any Subsidiary shall be required to disclose, permit the inspection, examination or making copies or abstracts of, or discussion of, any document, information or other matter that (A) in respect of which disclosure to the Administrative Agent or any Lender (or their respective representatives or contractors) is prohibited by (x) applicable law or (y) any bona fide arm’s length third party contract binding on a Loan Party (so long, in the case of this subclause (y), such confidentiality</w:t>
      </w:r>
    </w:p>
    <w:p>
      <w:pPr>
        <w:spacing w:after="0" w:line="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36" w:name="page137"/>
    <w:bookmarkEnd w:id="136"/>
    <w:p>
      <w:pPr>
        <w:ind w:right="699"/>
        <w:spacing w:after="0" w:line="258" w:lineRule="auto"/>
        <w:rPr>
          <w:sz w:val="20"/>
          <w:szCs w:val="20"/>
          <w:color w:val="auto"/>
        </w:rPr>
      </w:pPr>
      <w:r>
        <w:rPr>
          <w:rFonts w:ascii="Times New Roman" w:cs="Times New Roman" w:eastAsia="Times New Roman" w:hAnsi="Times New Roman"/>
          <w:sz w:val="22"/>
          <w:szCs w:val="22"/>
          <w:color w:val="auto"/>
        </w:rPr>
        <w:t>obligation was not created or entered into in contemplation of this provision) or (B) is subject to attorney client or similar privilege or constitutes attorney work product.</w:t>
      </w:r>
    </w:p>
    <w:p>
      <w:pPr>
        <w:spacing w:after="0" w:line="158"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 xml:space="preserve">Section 8.09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Borrower will, and will cause each other Relevant Party to, comply in all material respects with all applicable Governmental Requirements. The Borrower will maintain in effect and enforce policies and procedures designed to ensure compliance by the Borrower, its Subsidiaries and each of their respective directors, officers, employees and agents with applicable Anti-Corruption Laws, Anti-Terrorism Laws and Sanctions.</w:t>
      </w:r>
    </w:p>
    <w:p>
      <w:pPr>
        <w:spacing w:after="0" w:line="177" w:lineRule="exact"/>
        <w:rPr>
          <w:sz w:val="20"/>
          <w:szCs w:val="20"/>
          <w:color w:val="auto"/>
        </w:rPr>
      </w:pPr>
    </w:p>
    <w:p>
      <w:pPr>
        <w:jc w:val="both"/>
        <w:ind w:right="399" w:firstLine="747"/>
        <w:spacing w:after="0" w:line="232"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Compliance with Agreements; Maintenance of Material Contracts</w:t>
      </w:r>
      <w:r>
        <w:rPr>
          <w:rFonts w:ascii="Times New Roman" w:cs="Times New Roman" w:eastAsia="Times New Roman" w:hAnsi="Times New Roman"/>
          <w:sz w:val="22"/>
          <w:szCs w:val="22"/>
          <w:color w:val="auto"/>
        </w:rPr>
        <w:t>. The Borrower will, and will cause each other Relevant Party to, (i) comply with all material agreements, contracts and instruments binding on it or affecting its Properties or business, including, without limitation, the Material Contracts, in each case as deemed appropriate by such Relevant Parties in their respective reasonable business judgment, (ii) except as may be required from time to time to comply with any applicable Governmental Requirement, maintain each Material Contract in full force and effect (or obtain replacement Material Contracts in form and substance reasonably satisfactory to the Administrative Agent) and enforce such Material Contracts in accordance with their respective terms, in each case except as would not reasonably be expected to result in a Material Adverse Effect, and (iii) upon the request of the Administrative Agent, at any time an Event of Default has occurred and is continuing, make to any counterparty of any Material Contract such reasonable demands and requests for information and reports as any Relevant Party is entitled to make under such Material Contract. Notwithstanding anything in this Agreement to the contrary, any Material Contract (other than a Specified Material Contract) may be amended, modified, supplemented, terminated or replaced, or may expire in accordance with its terms, from time to time so long as any such amendment, modification, supplement, termination, expiration or replacement could not reasonably be expected to (A) be materially adverse to the Lenders or (B) result in a Material Adverse Effect.</w:t>
      </w:r>
    </w:p>
    <w:p>
      <w:pPr>
        <w:spacing w:after="0" w:line="190"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8.11</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43" w:lineRule="auto"/>
        <w:rPr>
          <w:sz w:val="20"/>
          <w:szCs w:val="20"/>
          <w:color w:val="auto"/>
        </w:rPr>
      </w:pPr>
      <w:r>
        <w:rPr>
          <w:rFonts w:ascii="Times New Roman" w:cs="Times New Roman" w:eastAsia="Times New Roman" w:hAnsi="Times New Roman"/>
          <w:sz w:val="21"/>
          <w:szCs w:val="21"/>
          <w:color w:val="auto"/>
        </w:rPr>
        <w:t>(a)The Borrower shall at its sole expense (including such contribution from third parties as may be available): (i) comply, and shall cause its Properties and operations and each other Relevant Party and each other Relevant Party’s Properties and operations to comply, with all applicable Environmental Laws, the breach of which could be reasonably expected to have a Material Adverse Effect; (ii) not dispose of or otherwise release, and shall cause each Subsidiary not to dispose of or otherwise release, any oil, oil and gas waste, hazardous substance, or solid waste on, under, about or from any of the Borrower’s or any other Relevant Party’s Properties or any other Property to the extent caused by the Borrower’s or any other Relevant Party’s operations except in compliance with applicable Environmental Laws, the disposal or release of which would reasonably be expected to have a Material Adverse Effect; (iii) timely obtain or file, and shall cause each Restricted Subsidiary to timely obtain or file, all notices, permits, licenses, exemptions, approvals, registrations or other authorizations, if any, required under applicable Environmental Laws to be obtained or filed in connection with the operation or use of the Borrower’s or any other Relevant Party’s Properties, which failure to obtain or file would reasonably be expected to have a Material Adverse Effect;</w:t>
      </w:r>
    </w:p>
    <w:p>
      <w:pPr>
        <w:spacing w:after="0" w:line="5" w:lineRule="exact"/>
        <w:rPr>
          <w:sz w:val="20"/>
          <w:szCs w:val="20"/>
          <w:color w:val="auto"/>
        </w:rPr>
      </w:pPr>
    </w:p>
    <w:p>
      <w:pPr>
        <w:jc w:val="both"/>
        <w:ind w:right="399" w:firstLine="2"/>
        <w:spacing w:after="0" w:line="231" w:lineRule="auto"/>
        <w:tabs>
          <w:tab w:leader="none" w:pos="37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commence and diligently prosecute to completion, and shall cause each other Relevant Party to promptly commence and diligently prosecute to completion, any assessment, evaluation, investigation, monitoring, containment, cleanup, removal,</w:t>
      </w:r>
    </w:p>
    <w:p>
      <w:pPr>
        <w:spacing w:after="0" w:line="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37" w:name="page138"/>
    <w:bookmarkEnd w:id="137"/>
    <w:p>
      <w:pPr>
        <w:jc w:val="both"/>
        <w:ind w:right="399"/>
        <w:spacing w:after="0" w:line="233" w:lineRule="auto"/>
        <w:rPr>
          <w:sz w:val="20"/>
          <w:szCs w:val="20"/>
          <w:color w:val="auto"/>
        </w:rPr>
      </w:pPr>
      <w:r>
        <w:rPr>
          <w:rFonts w:ascii="Times New Roman" w:cs="Times New Roman" w:eastAsia="Times New Roman" w:hAnsi="Times New Roman"/>
          <w:sz w:val="22"/>
          <w:szCs w:val="22"/>
          <w:color w:val="auto"/>
        </w:rPr>
        <w:t>repair, restoration, remediation or other remedial obligations (collectively, the “</w:t>
      </w:r>
      <w:r>
        <w:rPr>
          <w:rFonts w:ascii="Times New Roman" w:cs="Times New Roman" w:eastAsia="Times New Roman" w:hAnsi="Times New Roman"/>
          <w:sz w:val="22"/>
          <w:szCs w:val="22"/>
          <w:u w:val="single" w:color="auto"/>
          <w:color w:val="auto"/>
        </w:rPr>
        <w:t>Remedial Work</w:t>
      </w:r>
      <w:r>
        <w:rPr>
          <w:rFonts w:ascii="Times New Roman" w:cs="Times New Roman" w:eastAsia="Times New Roman" w:hAnsi="Times New Roman"/>
          <w:sz w:val="22"/>
          <w:szCs w:val="22"/>
          <w:color w:val="auto"/>
        </w:rPr>
        <w:t xml:space="preserve">”) in the event any Remedial Work is required or reasonably necessary under applicable Environmental Laws because of or in connection with the actual or suspected past, present or future disposal or other release of any oil, oil and gas waste, hazardous substance or solid waste on, under, about or from any of the Borrower’s or any other Relevant Party’s Properties, which failure to commence and diligently prosecute to completion would reasonably be expected to have a Material Adverse Effect; and (v) establish and implement, and shall cause each Restricted Subsidiary to establish and implement, such reasonable policies of environmental audit and compliance as may be reasonably necessary to continuously determine and assure that the Borrower’s and its Restricted Subsidiaries’ obligations under this </w:t>
      </w:r>
      <w:r>
        <w:rPr>
          <w:rFonts w:ascii="Times New Roman" w:cs="Times New Roman" w:eastAsia="Times New Roman" w:hAnsi="Times New Roman"/>
          <w:sz w:val="22"/>
          <w:szCs w:val="22"/>
          <w:u w:val="single" w:color="auto"/>
          <w:color w:val="auto"/>
        </w:rPr>
        <w:t>Section 8.10(a)</w:t>
      </w:r>
      <w:r>
        <w:rPr>
          <w:rFonts w:ascii="Times New Roman" w:cs="Times New Roman" w:eastAsia="Times New Roman" w:hAnsi="Times New Roman"/>
          <w:sz w:val="22"/>
          <w:szCs w:val="22"/>
          <w:color w:val="auto"/>
        </w:rPr>
        <w:t xml:space="preserve"> are timely and fully satisfied, which failure to establish and implement would reasonably be expected to have a Material Adverse Effect.</w:t>
      </w:r>
    </w:p>
    <w:p>
      <w:pPr>
        <w:spacing w:after="0" w:line="187"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(b)The Borrower will promptly notify the Administrative Agent in writing of any threatened (in writing) action, investigation or inquiry by any Governmental Authority or any threatened (in writing) demand or lawsuit by any landowner or other third party against the Borrower or its Restricted Subsidiaries or their Properties of which the Borrower has knowledge in connection with any Environmental Laws (excluding routine testing and corrective action) if the Borrower reasonably anticipates that such action could in any case be reasonably expected to have a Material Adverse Effect.</w:t>
      </w:r>
    </w:p>
    <w:p>
      <w:pPr>
        <w:spacing w:after="0" w:line="181"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(c)The Borrower will, and will cause each other Relevant Party to, provide, if requested in writing (including by email) by the Administrative Agent, copies of any existing environmental assessments, audits, and tests obtained by any Relevant Party in connection with any acquisition, or series of related acquisitions, of any Material Real Properties for consideration in excess of $10,000,000.</w:t>
      </w:r>
    </w:p>
    <w:p>
      <w:pPr>
        <w:spacing w:after="0" w:line="180"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8.12</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(a)The Borrower at its sole expense shall, and shall cause each other Relevant Party to, promptly execute and deliver to the Administrative Agent all such other documents, agreements and instruments reasonably requested by the Administrative Agent to comply with, cure any defects or accomplish the conditions precedent, covenants and agreements of the Borrower or any other Relevant Party, as the case may be, in the Loan Documents, including the Notes, or to further evidence and more fully describe the Collateral intended as security for the Secured Obligations, or to correct any omissions in this Agreement or the Security Instruments, or to state more fully the obligations secured therein, or to perfect, protect or preserve any Liens created pursuant to this Agreement or any of the Security Instruments or the priority thereof, or to make any recordings, file any notices or obtain any consents, approvals, licenses and permits, all as may be reasonably necessary or appropriate in accordance with the terms of this Agreement and the other Loan Documents, in the reasonable discretion of the Administrative Agent, in connection therewith.</w:t>
      </w:r>
    </w:p>
    <w:p>
      <w:pPr>
        <w:spacing w:after="0" w:line="185"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(b)The Borrower hereby authorizes the Administrative Agent to file one or more financing or continuation statements, and amendments thereto, describing all or any part of the Collateral as “all assets” of the applicable Loan Party (or words of similar effect) without the signature of the Borrower or any other Loan Party where permitted by law. A carbon, photographic</w:t>
      </w:r>
    </w:p>
    <w:p>
      <w:pPr>
        <w:spacing w:after="0" w:line="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38" w:name="page139"/>
    <w:bookmarkEnd w:id="138"/>
    <w:p>
      <w:pPr>
        <w:ind w:right="779"/>
        <w:spacing w:after="0" w:line="258" w:lineRule="auto"/>
        <w:rPr>
          <w:sz w:val="20"/>
          <w:szCs w:val="20"/>
          <w:color w:val="auto"/>
        </w:rPr>
      </w:pPr>
      <w:r>
        <w:rPr>
          <w:rFonts w:ascii="Times New Roman" w:cs="Times New Roman" w:eastAsia="Times New Roman" w:hAnsi="Times New Roman"/>
          <w:sz w:val="22"/>
          <w:szCs w:val="22"/>
          <w:color w:val="auto"/>
        </w:rPr>
        <w:t>or other reproduction of the Security Instruments or any financing statement covering such Collateral or any part thereof shall be sufficient as a financing statement where permitted by law.</w:t>
      </w:r>
    </w:p>
    <w:p>
      <w:pPr>
        <w:spacing w:after="0" w:line="158"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8.13</w:t>
      </w:r>
      <w:r>
        <w:rPr>
          <w:sz w:val="20"/>
          <w:szCs w:val="20"/>
          <w:color w:val="auto"/>
        </w:rPr>
        <w:tab/>
      </w:r>
      <w:r>
        <w:rPr>
          <w:rFonts w:ascii="Times New Roman" w:cs="Times New Roman" w:eastAsia="Times New Roman" w:hAnsi="Times New Roman"/>
          <w:sz w:val="21"/>
          <w:szCs w:val="21"/>
          <w:u w:val="single" w:color="auto"/>
          <w:color w:val="auto"/>
        </w:rPr>
        <w:t>Title Information; Phase I Site Assessments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 xml:space="preserve">(a)If the Borrower or any other Relevant Party acquires any Material Real Property, the Borrower shall, or shall cause such other Relevant Party to, promptly provide reasonable title information regarding such Material Real Property to the Administrative Agent such that the Administrative Agent shall have such title information for the Material Real Property of the Borrower and the other Relevant Parties that is satisfactory to it in all respects in its reasonable exercise of its credit judgment as a senior secured lender. The Borrower shall, within forty-five (45) days of notice from the Administrative Agent objecting to title defects or exceptions that exist with respect to such additional Properties, either (i) cure any such title defects or exceptions (including defects or exceptions as to priority) that are not permitted by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raised by such information, or (ii) deliver title information in form and substance reasonably acceptable to the Administrative Agent so that the Administrative Agent shall have received, together with title information previously delivered to the Administrative Agent, satisfactory title information on the Midstream Properties of the Borrower and the other Relevant Parties.</w:t>
      </w:r>
    </w:p>
    <w:p>
      <w:pPr>
        <w:spacing w:after="0" w:line="185"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 xml:space="preserve">(b)If the Borrower or any other Relevant Party desires to acquire any Processing Plant for consideration in excess of $50,000,000, the Borrower shall, or shall cause such other Relevant Party to, provide to the Administrative Agent the results of a current phase I site assessment regarding such acquired real property on which such Processing Plant is situated prior to the acquisition of such Processing Plant,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Administrative Agent may, in its sole and absolute discretion, elect not to require any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site assessment that would otherwise be so required.</w:t>
      </w:r>
    </w:p>
    <w:p>
      <w:pPr>
        <w:spacing w:after="0" w:line="181"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8.14</w:t>
      </w:r>
      <w:r>
        <w:rPr>
          <w:sz w:val="20"/>
          <w:szCs w:val="20"/>
          <w:color w:val="auto"/>
        </w:rPr>
        <w:tab/>
      </w:r>
      <w:r>
        <w:rPr>
          <w:rFonts w:ascii="Times New Roman" w:cs="Times New Roman" w:eastAsia="Times New Roman" w:hAnsi="Times New Roman"/>
          <w:sz w:val="21"/>
          <w:szCs w:val="21"/>
          <w:u w:val="single" w:color="auto"/>
          <w:color w:val="auto"/>
        </w:rPr>
        <w:t>Additional Collateral; Additional Guarantors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2" w:lineRule="auto"/>
        <w:rPr>
          <w:sz w:val="20"/>
          <w:szCs w:val="20"/>
          <w:color w:val="auto"/>
        </w:rPr>
      </w:pPr>
      <w:r>
        <w:rPr>
          <w:rFonts w:ascii="Times New Roman" w:cs="Times New Roman" w:eastAsia="Times New Roman" w:hAnsi="Times New Roman"/>
          <w:sz w:val="22"/>
          <w:szCs w:val="22"/>
          <w:color w:val="auto"/>
        </w:rPr>
        <w:t xml:space="preserve">(a)In the event that (x) any Loan Party acquires or forms a Subsidiary that is not designated as an Unrestricted Subsidiary in accordance with </w:t>
      </w:r>
      <w:r>
        <w:rPr>
          <w:rFonts w:ascii="Times New Roman" w:cs="Times New Roman" w:eastAsia="Times New Roman" w:hAnsi="Times New Roman"/>
          <w:sz w:val="22"/>
          <w:szCs w:val="22"/>
          <w:u w:val="single" w:color="auto"/>
          <w:color w:val="auto"/>
        </w:rPr>
        <w:t>Section 8.17(a)</w:t>
      </w:r>
      <w:r>
        <w:rPr>
          <w:rFonts w:ascii="Times New Roman" w:cs="Times New Roman" w:eastAsia="Times New Roman" w:hAnsi="Times New Roman"/>
          <w:sz w:val="22"/>
          <w:szCs w:val="22"/>
          <w:color w:val="auto"/>
        </w:rPr>
        <w:t xml:space="preserve">, or (y) any Unrestricted Subsidiary is designated as a Loan Party in accordance with </w:t>
      </w:r>
      <w:r>
        <w:rPr>
          <w:rFonts w:ascii="Times New Roman" w:cs="Times New Roman" w:eastAsia="Times New Roman" w:hAnsi="Times New Roman"/>
          <w:sz w:val="22"/>
          <w:szCs w:val="22"/>
          <w:u w:val="single" w:color="auto"/>
          <w:color w:val="auto"/>
        </w:rPr>
        <w:t>Section 8.17(b)</w:t>
      </w:r>
      <w:r>
        <w:rPr>
          <w:rFonts w:ascii="Times New Roman" w:cs="Times New Roman" w:eastAsia="Times New Roman" w:hAnsi="Times New Roman"/>
          <w:sz w:val="22"/>
          <w:szCs w:val="22"/>
          <w:color w:val="auto"/>
        </w:rPr>
        <w:t>, the Borrower shall promptly, and in any event within thirty (30) days after such event (or such later date as agreed by the Administrative Agent in its sole discretion), (i) cause such Subsidiary to execute and deliver to the Administrative Agent a supplement to the Guaranty and Collateral Agreement and such other Security Instruments, including Mortgages (in each case in proper form for filing, registration or recordation, as applicable) as are reasonably requested by the Administrative Agent, and take such actions necessary or reasonably advisable to grant to the Administrative Agent for the benefit of the Secured Parties a first priority, perfected Lien (subject only to Permitted Liens) on substantially all of the tangible and intangible Property of such Loan Party other than Excluded Property (and subject to any other express limitations set forth in the Security Instruments), (ii) cause the owner or owners, as the case may be, of 100% of the issued and outstanding Equity Interests in such Subsidiary to pledge such Equity Interests (including, without limitation, delivery of original certificates evidencing the Equity Interests, if any, of such Subsidiary, together with an appropriate undated stock power (or equivalent instrument of transfer) for each certificate duly executed in blank by the registered owner thereof) and (iii) cause such</w:t>
      </w:r>
    </w:p>
    <w:p>
      <w:pPr>
        <w:spacing w:after="0" w:line="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39" w:name="page140"/>
    <w:bookmarkEnd w:id="139"/>
    <w:p>
      <w:pPr>
        <w:spacing w:after="0" w:line="258" w:lineRule="auto"/>
        <w:rPr>
          <w:sz w:val="20"/>
          <w:szCs w:val="20"/>
          <w:color w:val="auto"/>
        </w:rPr>
      </w:pPr>
      <w:r>
        <w:rPr>
          <w:rFonts w:ascii="Times New Roman" w:cs="Times New Roman" w:eastAsia="Times New Roman" w:hAnsi="Times New Roman"/>
          <w:sz w:val="22"/>
          <w:szCs w:val="22"/>
          <w:color w:val="auto"/>
        </w:rPr>
        <w:t>Subsidiary and pledgor or pledgors to execute and deliver such other additional closing documents, certificates and legal opinions as shall reasonably be requested by the Administrative Agent.</w:t>
      </w:r>
    </w:p>
    <w:p>
      <w:pPr>
        <w:spacing w:after="0" w:line="158" w:lineRule="exact"/>
        <w:rPr>
          <w:sz w:val="20"/>
          <w:szCs w:val="20"/>
          <w:color w:val="auto"/>
        </w:rPr>
      </w:pPr>
    </w:p>
    <w:p>
      <w:pPr>
        <w:jc w:val="both"/>
        <w:ind w:right="580" w:firstLine="1498"/>
        <w:spacing w:after="0" w:line="255" w:lineRule="auto"/>
        <w:rPr>
          <w:sz w:val="20"/>
          <w:szCs w:val="20"/>
          <w:color w:val="auto"/>
        </w:rPr>
      </w:pPr>
      <w:r>
        <w:rPr>
          <w:rFonts w:ascii="Times New Roman" w:cs="Times New Roman" w:eastAsia="Times New Roman" w:hAnsi="Times New Roman"/>
          <w:sz w:val="20"/>
          <w:szCs w:val="20"/>
          <w:color w:val="auto"/>
        </w:rPr>
        <w:t>(b)The Borrower will at all times, but subject, in the case of real property, to the time periods contemplated by the immediately following sentence, cause the other material tangible and intangible Property of the Borrower and each other Loan Party not covered by the Security Instruments (other than Excluded Property) to be subject to a Lien pursuant to the Security Instruments. In furtherance of the foregoing, within forty-five (45) days after (or such later date as agreed by the Administrative Agent in its sole discretion) the end of each six-month period ending June 30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and December 31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xml:space="preserve"> during which any Loan Party receives copies of any recorded Deeds and/or Rights of Way in favor of any of the Loan Parties with respect to any owned real Property that is or becomes Material Real Property, the Borrower shall, or shall cause the applicable Loan Party to, (i) provide copies of such recorded Deeds and/or Rights of Way to the Administrative Agent, (ii) deliver to the Administrative Agent and each Lender, with respect to any Building owned by a Loan Party and located on real Property covered by any such Deeds and/or Rights of Way, evidence or confirmation reasonably satisfactory to the Administrative Agent or such Lender that</w:t>
      </w:r>
    </w:p>
    <w:p>
      <w:pPr>
        <w:spacing w:after="0" w:line="8" w:lineRule="exact"/>
        <w:rPr>
          <w:sz w:val="20"/>
          <w:szCs w:val="20"/>
          <w:color w:val="auto"/>
        </w:rPr>
      </w:pPr>
    </w:p>
    <w:p>
      <w:pPr>
        <w:jc w:val="both"/>
        <w:ind w:right="580" w:firstLine="2"/>
        <w:spacing w:after="0" w:line="231" w:lineRule="auto"/>
        <w:tabs>
          <w:tab w:leader="none" w:pos="38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Loan Party maintains Flood Insurance for any such Building or Manufactured (Mobile) Home located in a Special Flood Hazard Area in compliance with Flood Insurance Regulations (including delivery to the Administrative Agent or such Lender of any notices or certificates as required by such Flood Insurance Regulations) or (B) any such Building or Manufactured (Mobile) Home is of immaterial value, in each case as certified in writing by a Responsible Officer, and (iii) subject to the proviso of the immediately preceding sentence, execute and deliver Mortgages on such Deeds and/or Rights of Way in favor of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real Property is located in a “special flood hazard area”, such Mortgage shall not be executed and delivered to the Administrative Agent until the date that is fifteen (15) Business Days after the Administrative Agent has delivered to the Lenders the following documents in respect of such real Property: (1) a completed flood hazard determination from a third-party vendor, (2) if such real Property is located in a “special flood hazard area”, (I) a notification to the applicable Loan Parties of that fact and (if applicable) notification to the applicable Loan Parties that flood insurance coverage is not available and (II) evidence of receipt by the applicable Loan Parties of such notice; and (3) if required by applicable Flood Insurance Regulations, evidence of required flood insurance. Notwithstanding the foregoing in this </w:t>
      </w:r>
      <w:r>
        <w:rPr>
          <w:rFonts w:ascii="Times New Roman" w:cs="Times New Roman" w:eastAsia="Times New Roman" w:hAnsi="Times New Roman"/>
          <w:sz w:val="22"/>
          <w:szCs w:val="22"/>
          <w:u w:val="single" w:color="auto"/>
          <w:color w:val="auto"/>
        </w:rPr>
        <w:t>Section 8.14(b)</w:t>
      </w:r>
      <w:r>
        <w:rPr>
          <w:rFonts w:ascii="Times New Roman" w:cs="Times New Roman" w:eastAsia="Times New Roman" w:hAnsi="Times New Roman"/>
          <w:sz w:val="22"/>
          <w:szCs w:val="22"/>
          <w:color w:val="auto"/>
        </w:rPr>
        <w:t>, with respect to any Property, if the Administrative Agent determines in its sole discretion that the cost, financial and otherwise, of obtaining or maintaining a Lien, perfecting a Lien, and/or complying with all Governmental Requirements with respect to such a Lien outweigh the benefit to the Secured Parties of the security afforded thereby, then the Administrative Agent may elect not to be granted or not to perfect a Lien in such Property.</w:t>
      </w:r>
    </w:p>
    <w:p>
      <w:pPr>
        <w:spacing w:after="0" w:line="183" w:lineRule="exact"/>
        <w:rPr>
          <w:sz w:val="20"/>
          <w:szCs w:val="20"/>
          <w:color w:val="auto"/>
        </w:rPr>
      </w:pPr>
    </w:p>
    <w:p>
      <w:pPr>
        <w:jc w:val="both"/>
        <w:ind w:right="580" w:firstLine="1498"/>
        <w:spacing w:after="0" w:line="234" w:lineRule="auto"/>
        <w:rPr>
          <w:sz w:val="20"/>
          <w:szCs w:val="20"/>
          <w:color w:val="auto"/>
        </w:rPr>
      </w:pPr>
      <w:r>
        <w:rPr>
          <w:rFonts w:ascii="Times New Roman" w:cs="Times New Roman" w:eastAsia="Times New Roman" w:hAnsi="Times New Roman"/>
          <w:sz w:val="22"/>
          <w:szCs w:val="22"/>
          <w:color w:val="auto"/>
        </w:rPr>
        <w:t>(c)Borrower shall (i) at all times prior to the Pinnacle Redemption Effective Date, cause all direct owners of Equity Interests in the Borrower (other than Pinnacle Preferred Equity Interests) to be party to the Parent Pledge Agreement pursuant to which 100% of the outstanding Equity Interests in the Borrower (other than Pinnacle Preferred Equity Interests) will be pledged as Collateral and (ii) at all times from and after the date that is five (5) Business Days following the Pinnacle Redemption Effective Date, cause all direct owners of Equity Interests in the Borrower to be party to the Parent Pledge Agreement pursuant to which 100% of the outstanding Equity Interests in the Borrower will be pledged as Collateral.</w:t>
      </w:r>
    </w:p>
    <w:p>
      <w:pPr>
        <w:spacing w:after="0" w:line="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700" w:top="1151" w:right="1259" w:bottom="1440" w:gutter="0" w:footer="0" w:header="0"/>
        </w:sectPr>
      </w:pPr>
    </w:p>
    <w:bookmarkStart w:id="140" w:name="page141"/>
    <w:bookmarkEnd w:id="140"/>
    <w:p>
      <w:pPr>
        <w:jc w:val="both"/>
        <w:ind w:right="399" w:firstLine="747"/>
        <w:spacing w:after="0" w:line="247" w:lineRule="auto"/>
        <w:rPr>
          <w:sz w:val="20"/>
          <w:szCs w:val="20"/>
          <w:color w:val="auto"/>
        </w:rPr>
      </w:pPr>
      <w:r>
        <w:rPr>
          <w:rFonts w:ascii="Times New Roman" w:cs="Times New Roman" w:eastAsia="Times New Roman" w:hAnsi="Times New Roman"/>
          <w:sz w:val="21"/>
          <w:szCs w:val="21"/>
          <w:color w:val="auto"/>
        </w:rPr>
        <w:t xml:space="preserve">Section 8.15 </w:t>
      </w:r>
      <w:r>
        <w:rPr>
          <w:rFonts w:ascii="Times New Roman" w:cs="Times New Roman" w:eastAsia="Times New Roman" w:hAnsi="Times New Roman"/>
          <w:sz w:val="21"/>
          <w:szCs w:val="21"/>
          <w:u w:val="single" w:color="auto"/>
          <w:color w:val="auto"/>
        </w:rPr>
        <w:t>ERISA Compliance</w:t>
      </w:r>
      <w:r>
        <w:rPr>
          <w:rFonts w:ascii="Times New Roman" w:cs="Times New Roman" w:eastAsia="Times New Roman" w:hAnsi="Times New Roman"/>
          <w:sz w:val="21"/>
          <w:szCs w:val="21"/>
          <w:color w:val="auto"/>
        </w:rPr>
        <w:t>. Except as could not reasonably be expected to have a Material Adverse Effect, each Loan Party and any ERISA Affiliate will furnish to the Administrative Agent (i) promptly after the filing thereof with the United States Secretary of Labor, the Internal Revenue Service or the PBGC, copies of each annual and other report with respect to each Plan or any trust created thereunder,</w:t>
      </w:r>
    </w:p>
    <w:p>
      <w:pPr>
        <w:spacing w:after="0" w:line="2" w:lineRule="exact"/>
        <w:rPr>
          <w:sz w:val="20"/>
          <w:szCs w:val="20"/>
          <w:color w:val="auto"/>
        </w:rPr>
      </w:pPr>
    </w:p>
    <w:p>
      <w:pPr>
        <w:jc w:val="both"/>
        <w:ind w:right="379" w:firstLine="2"/>
        <w:spacing w:after="0" w:line="231" w:lineRule="auto"/>
        <w:tabs>
          <w:tab w:leader="none" w:pos="36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upon becoming aware of the occurrence of any ERISA Event or of any “prohibited transaction”, as described in section 406 of ERISA or in section 4975 of the Code, in connection with any Plan or any trust created thereunder, a written notice signed by the President or the principal Financial Officer, such Loan Party or the ERISA Affiliate, as the case may be, specifying the nature thereof, what action such Loan Party or the ERISA Affiliate is taking or proposes to take with respect thereto, and, when known, any action taken or proposed by the Internal Revenue Service, the Department of Labor or the PBGC with respect thereto, and (iii) immediately upon receipt thereof, copies of any notice of the PBGC’s intention to terminate or to have a trustee appointed to administer any Plan. With respect to each Plan (other than a Multiemployer Plan), each Loan Party will (i) satisfy in full and in a timely manner, without incurring any late payment or underpayment charge or penalty and without giving rise to any lien, all of the Pension Funding Rules, and (ii) pay, or cause to be paid, to the PBGC in a timely manner, without incurring any late payment or underpayment charge or penalty, all premiums required pursuant to sections 4006 and 4007 of ERISA.</w:t>
      </w:r>
    </w:p>
    <w:p>
      <w:pPr>
        <w:spacing w:after="0" w:line="186" w:lineRule="exact"/>
        <w:rPr>
          <w:sz w:val="20"/>
          <w:szCs w:val="20"/>
          <w:color w:val="auto"/>
        </w:rPr>
      </w:pPr>
    </w:p>
    <w:p>
      <w:pPr>
        <w:jc w:val="both"/>
        <w:ind w:right="399" w:firstLine="747"/>
        <w:spacing w:after="0" w:line="232" w:lineRule="auto"/>
        <w:rPr>
          <w:sz w:val="20"/>
          <w:szCs w:val="20"/>
          <w:color w:val="auto"/>
        </w:rPr>
      </w:pPr>
      <w:r>
        <w:rPr>
          <w:rFonts w:ascii="Times New Roman" w:cs="Times New Roman" w:eastAsia="Times New Roman" w:hAnsi="Times New Roman"/>
          <w:sz w:val="22"/>
          <w:szCs w:val="22"/>
          <w:color w:val="auto"/>
        </w:rPr>
        <w:t xml:space="preserve">Section 8.16 </w:t>
      </w:r>
      <w:r>
        <w:rPr>
          <w:rFonts w:ascii="Times New Roman" w:cs="Times New Roman" w:eastAsia="Times New Roman" w:hAnsi="Times New Roman"/>
          <w:sz w:val="22"/>
          <w:szCs w:val="22"/>
          <w:u w:val="single" w:color="auto"/>
          <w:color w:val="auto"/>
        </w:rPr>
        <w:t>Maintenance of Gathering Systems and Processing Plants</w:t>
      </w:r>
      <w:r>
        <w:rPr>
          <w:rFonts w:ascii="Times New Roman" w:cs="Times New Roman" w:eastAsia="Times New Roman" w:hAnsi="Times New Roman"/>
          <w:sz w:val="22"/>
          <w:szCs w:val="22"/>
          <w:color w:val="auto"/>
        </w:rPr>
        <w:t xml:space="preserve">. The Borrower will, and will cause each other Loan Party to, (a) maintain or cause the maintenance of their respective interests and rights in the Rights of Way for their Gathering Systems and in their Processing Plants, to the extent the failure to do so, individually or in the aggregate, would reasonably be expected to result in a Material Adverse Effect, (b) subject to Permitted Liens, maintain the Gathering Systems within the confines of the Rights of Way without material encroachment upon any adjoining Property and maintain the Processing Plants within the boundaries of the Deeds and without material encroachment upon any adjoining Property if failure to do so would reasonably be expected to result in a Material Adverse Effect, (c) maintain such rights of ingress and egress necessary to permit the Loan Parties to inspect, operate, repair, and maintain the Midstream Properties, including the Gathering Systems and the Processing Plants, to the extent that failure to maintain such rights, individually or in the aggregate, would reasonably be expected to result in a Material Adverse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Loan Parties may hire third parties to perform these functions, and (d) maintain all material agreements, licenses, permits, and other rights required for any of the foregoing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8.16</w:t>
      </w:r>
      <w:r>
        <w:rPr>
          <w:rFonts w:ascii="Times New Roman" w:cs="Times New Roman" w:eastAsia="Times New Roman" w:hAnsi="Times New Roman"/>
          <w:sz w:val="22"/>
          <w:szCs w:val="22"/>
          <w:color w:val="auto"/>
        </w:rPr>
        <w:t xml:space="preserve"> in full force and effect in accordance with their terms, timely make any payments due thereunder, and prevent any default thereunder which could reasonably be expected to result in a termination or loss thereof, except any such failure to pay or default that would not reasonably, individually or in the aggregate, be expected to result in a Material Adverse Effect.</w:t>
      </w:r>
    </w:p>
    <w:p>
      <w:pPr>
        <w:spacing w:after="0" w:line="188"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8.17</w:t>
      </w:r>
      <w:r>
        <w:rPr>
          <w:sz w:val="20"/>
          <w:szCs w:val="20"/>
          <w:color w:val="auto"/>
        </w:rPr>
        <w:tab/>
      </w:r>
      <w:r>
        <w:rPr>
          <w:rFonts w:ascii="Times New Roman" w:cs="Times New Roman" w:eastAsia="Times New Roman" w:hAnsi="Times New Roman"/>
          <w:sz w:val="21"/>
          <w:szCs w:val="21"/>
          <w:u w:val="single" w:color="auto"/>
          <w:color w:val="auto"/>
        </w:rPr>
        <w:t>Designations of Unrestricted Subsidiaries and Loan Parties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 xml:space="preserve">(a)The Borrower may designate any Restricted Subsidiary, including any newly formed or newly acquired Subsidiary, as an “Unrestricted Subsidiary” by written notification thereof to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immediately prior, and after giving effect, to such designation, (A) the representations and warranties of each Loan Party contained in each of the Loan Documents are true and correct in all material respects (without duplication of any materiality qualification applicable thereto) on and as of such date as if made</w:t>
      </w:r>
    </w:p>
    <w:p>
      <w:pPr>
        <w:spacing w:after="0" w:line="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41" w:name="page142"/>
    <w:bookmarkEnd w:id="141"/>
    <w:p>
      <w:pPr>
        <w:jc w:val="both"/>
        <w:ind w:right="399"/>
        <w:spacing w:after="0" w:line="232" w:lineRule="auto"/>
        <w:rPr>
          <w:sz w:val="20"/>
          <w:szCs w:val="20"/>
          <w:color w:val="auto"/>
        </w:rPr>
      </w:pPr>
      <w:r>
        <w:rPr>
          <w:rFonts w:ascii="Times New Roman" w:cs="Times New Roman" w:eastAsia="Times New Roman" w:hAnsi="Times New Roman"/>
          <w:sz w:val="22"/>
          <w:szCs w:val="22"/>
          <w:color w:val="auto"/>
        </w:rPr>
        <w:t xml:space="preserve">on and as of the date of such redesignation (or, if stated to have been made expressly as of an earlier date, were true and correct in all material respects (without duplication of any materiality qualification applicable thereto) as of such date), (ii) immediately prior, and after giving effect, to such designation, no Default or Event of Default exists at the time of or after giving effect to such designation (and the Borrower shall be in compliance, on a pro forma basis, with the covenants set forth in </w:t>
      </w:r>
      <w:r>
        <w:rPr>
          <w:rFonts w:ascii="Times New Roman" w:cs="Times New Roman" w:eastAsia="Times New Roman" w:hAnsi="Times New Roman"/>
          <w:sz w:val="22"/>
          <w:szCs w:val="22"/>
          <w:u w:val="single" w:color="auto"/>
          <w:color w:val="auto"/>
        </w:rPr>
        <w:t>Section 9.01(a)</w:t>
      </w:r>
      <w:r>
        <w:rPr>
          <w:rFonts w:ascii="Times New Roman" w:cs="Times New Roman" w:eastAsia="Times New Roman" w:hAnsi="Times New Roman"/>
          <w:sz w:val="22"/>
          <w:szCs w:val="22"/>
          <w:color w:val="auto"/>
        </w:rPr>
        <w:t xml:space="preserve">), (iii) such Unrestricted Subsidiary does not own, directly or indirectly, any Equity Interests in any Relevant Party, (iv) the Investment deemed to be made in such Subsidiary (and its subsidiaries) pursuant to the next sentence would be permitted to be made at the time of such designation under </w:t>
      </w:r>
      <w:r>
        <w:rPr>
          <w:rFonts w:ascii="Times New Roman" w:cs="Times New Roman" w:eastAsia="Times New Roman" w:hAnsi="Times New Roman"/>
          <w:sz w:val="22"/>
          <w:szCs w:val="22"/>
          <w:u w:val="single" w:color="auto"/>
          <w:color w:val="auto"/>
        </w:rPr>
        <w:t>Section 9.05(m)</w:t>
      </w:r>
      <w:r>
        <w:rPr>
          <w:rFonts w:ascii="Times New Roman" w:cs="Times New Roman" w:eastAsia="Times New Roman" w:hAnsi="Times New Roman"/>
          <w:sz w:val="22"/>
          <w:szCs w:val="22"/>
          <w:color w:val="auto"/>
        </w:rPr>
        <w:t xml:space="preserve"> and (v) no Subsidiary may be designated as an Unrestricted Subsidiary if it is a “restricted subsidiary” for the purpose of, or guarantees, any Indebtedness of any Relevant Party. The designation of any Subsidiary as an Unrestricted Subsidiary shall constitute (i) an Investment by the Borrower or the relevant Restricted Subsidiary (as applicable) therein at the date of designation in an amount equal to the fair market value of all such Person’s outstanding Investment therein and (ii) an asset disposition of the Property of such Subsidiary (and its Subsidiaries) (and Equity Interests therein) for purposes of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If, at any time, any Unrestricted Subsidiary would fail to meet the requirements for an Unrestricted Subsidiary set forth in </w:t>
      </w:r>
      <w:r>
        <w:rPr>
          <w:rFonts w:ascii="Times New Roman" w:cs="Times New Roman" w:eastAsia="Times New Roman" w:hAnsi="Times New Roman"/>
          <w:sz w:val="22"/>
          <w:szCs w:val="22"/>
          <w:u w:val="single" w:color="auto"/>
          <w:color w:val="auto"/>
        </w:rPr>
        <w:t>Section 8.18</w:t>
      </w:r>
      <w:r>
        <w:rPr>
          <w:rFonts w:ascii="Times New Roman" w:cs="Times New Roman" w:eastAsia="Times New Roman" w:hAnsi="Times New Roman"/>
          <w:sz w:val="22"/>
          <w:szCs w:val="22"/>
          <w:color w:val="auto"/>
        </w:rPr>
        <w:t xml:space="preserve">, it shall thereafter cease to be an Unrestricted Subsidiary for purposes of this Agreement and any Indebtedness of such Subsidiary shall be deemed to be incurred by a Restricted Subsidiary of the Borrower as of such date and, if such Indebtedness is not permitted to be incurred as of such date under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the Borrower shall be in default of such covenant.</w:t>
      </w:r>
    </w:p>
    <w:p>
      <w:pPr>
        <w:spacing w:after="0" w:line="187"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 xml:space="preserve">(b)The Borrower may at any time designate any Unrestricted Subsidiary to be a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designation will be deemed to be an incurrence of Indebtedness by a Restricted Subsidiary of any outstanding Indebtedness of such Unrestricted Subsidiary and an incurrence of Liens by a Restricted Subsidiary on the property of such Unrestricted Subsidiary then subject to any Liens, and such designation will only be permitted if</w:t>
      </w:r>
    </w:p>
    <w:p>
      <w:pPr>
        <w:jc w:val="both"/>
        <w:ind w:right="399" w:firstLine="2"/>
        <w:spacing w:after="0" w:line="241" w:lineRule="auto"/>
        <w:tabs>
          <w:tab w:leader="none" w:pos="267"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Indebtedness is permitted under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xml:space="preserve"> and such Liens are permitted under </w:t>
      </w:r>
      <w:r>
        <w:rPr>
          <w:rFonts w:ascii="Times New Roman" w:cs="Times New Roman" w:eastAsia="Times New Roman" w:hAnsi="Times New Roman"/>
          <w:sz w:val="21"/>
          <w:szCs w:val="21"/>
          <w:u w:val="single" w:color="auto"/>
          <w:color w:val="auto"/>
        </w:rPr>
        <w:t>Section 9.03</w:t>
      </w:r>
      <w:r>
        <w:rPr>
          <w:rFonts w:ascii="Times New Roman" w:cs="Times New Roman" w:eastAsia="Times New Roman" w:hAnsi="Times New Roman"/>
          <w:sz w:val="21"/>
          <w:szCs w:val="21"/>
          <w:color w:val="auto"/>
        </w:rPr>
        <w:t xml:space="preserve">, (ii) immediately prior, and after giving effect to such designation, (A) no Default or Event of Default is in existence immediately prior to, or would be in existence immediately following such designation (and the Borrower shall be in compliance, on a pro forma basis, with the covenants set forth in </w:t>
      </w:r>
      <w:r>
        <w:rPr>
          <w:rFonts w:ascii="Times New Roman" w:cs="Times New Roman" w:eastAsia="Times New Roman" w:hAnsi="Times New Roman"/>
          <w:sz w:val="21"/>
          <w:szCs w:val="21"/>
          <w:u w:val="single" w:color="auto"/>
          <w:color w:val="auto"/>
        </w:rPr>
        <w:t>Section 9.01(a)</w:t>
      </w:r>
      <w:r>
        <w:rPr>
          <w:rFonts w:ascii="Times New Roman" w:cs="Times New Roman" w:eastAsia="Times New Roman" w:hAnsi="Times New Roman"/>
          <w:sz w:val="21"/>
          <w:szCs w:val="21"/>
          <w:color w:val="auto"/>
        </w:rPr>
        <w:t>) and</w:t>
      </w:r>
    </w:p>
    <w:p>
      <w:pPr>
        <w:spacing w:after="0" w:line="2" w:lineRule="exact"/>
        <w:rPr>
          <w:rFonts w:ascii="Times New Roman" w:cs="Times New Roman" w:eastAsia="Times New Roman" w:hAnsi="Times New Roman"/>
          <w:sz w:val="21"/>
          <w:szCs w:val="21"/>
          <w:color w:val="auto"/>
        </w:rPr>
      </w:pPr>
    </w:p>
    <w:p>
      <w:pPr>
        <w:jc w:val="both"/>
        <w:ind w:right="399"/>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(B) all representations and warranties herein with respect to such designated Restricted Subsidiary will be true and correct in all material respects (without duplication of any materiality qualifier) as if remade at the time of such designation, except to the extent such representations and warranties specifically refer to an earlier date, in which case they were true and correct in all material respects (without duplication of any materiality qualifier) as of such earlier date and (iii) such Subsidiary becomes a Loan Party to the extent required by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xml:space="preserve">. Any such designation shall (x) be treated as a cash dividend in an amount equal to the lesser of the fair market value of the Borrower’s direct and indirect ownership interest in such Subsidiary or the amount of the Borrower’s cash investment previously made for purposes of any applicable limitations on Investments under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xml:space="preserve"> and (y) constitute the incurrence at the time of such designation of any Investment, Indebtedness or Liens of such Subsidiary existing at such time. Any such designation shall be evidenced by a certificate of a Responsible Officer of the Borrower delivered to the Administrative Agent prior to such designation certifying that the conditions of this </w:t>
      </w:r>
      <w:r>
        <w:rPr>
          <w:rFonts w:ascii="Times New Roman" w:cs="Times New Roman" w:eastAsia="Times New Roman" w:hAnsi="Times New Roman"/>
          <w:sz w:val="22"/>
          <w:szCs w:val="22"/>
          <w:u w:val="single" w:color="auto"/>
          <w:color w:val="auto"/>
        </w:rPr>
        <w:t>Section 8.17(b)</w:t>
      </w:r>
      <w:r>
        <w:rPr>
          <w:rFonts w:ascii="Times New Roman" w:cs="Times New Roman" w:eastAsia="Times New Roman" w:hAnsi="Times New Roman"/>
          <w:sz w:val="22"/>
          <w:szCs w:val="22"/>
          <w:color w:val="auto"/>
        </w:rPr>
        <w:t xml:space="preserve"> are satisfied as of the date of such designation (and, as a condition precedent to the effectiveness of any such designation, the Borrower shall deliver to the Administrative Agent a certificate setting forth in reasonable detail</w:t>
      </w:r>
    </w:p>
    <w:p>
      <w:pPr>
        <w:spacing w:after="0" w:line="1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42" w:name="page143"/>
    <w:bookmarkEnd w:id="142"/>
    <w:p>
      <w:pPr>
        <w:ind w:right="839"/>
        <w:spacing w:after="0" w:line="258" w:lineRule="auto"/>
        <w:rPr>
          <w:sz w:val="20"/>
          <w:szCs w:val="20"/>
          <w:color w:val="auto"/>
        </w:rPr>
      </w:pPr>
      <w:r>
        <w:rPr>
          <w:rFonts w:ascii="Times New Roman" w:cs="Times New Roman" w:eastAsia="Times New Roman" w:hAnsi="Times New Roman"/>
          <w:sz w:val="22"/>
          <w:szCs w:val="22"/>
          <w:color w:val="auto"/>
        </w:rPr>
        <w:t xml:space="preserve">the calculations demonstrating compliance on a pro forma basis, with the covenants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9.01(a)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8.18</w:t>
      </w:r>
      <w:r>
        <w:rPr>
          <w:sz w:val="20"/>
          <w:szCs w:val="20"/>
          <w:color w:val="auto"/>
        </w:rPr>
        <w:tab/>
      </w:r>
      <w:r>
        <w:rPr>
          <w:rFonts w:ascii="Times New Roman" w:cs="Times New Roman" w:eastAsia="Times New Roman" w:hAnsi="Times New Roman"/>
          <w:sz w:val="21"/>
          <w:szCs w:val="21"/>
          <w:u w:val="single" w:color="auto"/>
          <w:color w:val="auto"/>
        </w:rPr>
        <w:t>Agreements Regarding Unrestricted Subsidiaries</w:t>
      </w:r>
      <w:r>
        <w:rPr>
          <w:rFonts w:ascii="Times New Roman" w:cs="Times New Roman" w:eastAsia="Times New Roman" w:hAnsi="Times New Roman"/>
          <w:sz w:val="21"/>
          <w:szCs w:val="21"/>
          <w:color w:val="auto"/>
        </w:rPr>
        <w:t>. The Borrower:</w:t>
      </w:r>
    </w:p>
    <w:p>
      <w:pPr>
        <w:spacing w:after="0" w:line="206" w:lineRule="exact"/>
        <w:rPr>
          <w:sz w:val="20"/>
          <w:szCs w:val="20"/>
          <w:color w:val="auto"/>
        </w:rPr>
      </w:pPr>
    </w:p>
    <w:p>
      <w:pPr>
        <w:jc w:val="both"/>
        <w:ind w:right="399" w:firstLine="1498"/>
        <w:spacing w:after="0" w:line="246" w:lineRule="auto"/>
        <w:rPr>
          <w:sz w:val="20"/>
          <w:szCs w:val="20"/>
          <w:color w:val="auto"/>
        </w:rPr>
      </w:pPr>
      <w:r>
        <w:rPr>
          <w:rFonts w:ascii="Times New Roman" w:cs="Times New Roman" w:eastAsia="Times New Roman" w:hAnsi="Times New Roman"/>
          <w:sz w:val="21"/>
          <w:szCs w:val="21"/>
          <w:color w:val="auto"/>
        </w:rPr>
        <w:t>(a)will cause the management, business and affairs of each of the Borrower and its Restricted Subsidiaries to be conducted in such a manner (including by keeping separate books of account, furnishing separate financial statements of Unrestricted Subsidiaries to creditors and potential creditors thereof and by not permitting Properties of the Borrower and its Restricted Subsidiaries, on the one hand, and each of the Unrestricted Subsidiaries, on the other hand, to be commingled) so that each Unrestricted Subsidiary will be treated as an entity separate and distinct from the Borrower and the Restricted Subsidiaries (except (i) with respect to the treatment for tax purposes of the Borrower or any Restricted Subsidiary holding any interest in an Unrestricted Subsidiary that is regarded as a partnership and (ii) for the common management/directorship between the Borrower and any Unrestricted Subsidiary);</w:t>
      </w:r>
    </w:p>
    <w:p>
      <w:pPr>
        <w:spacing w:after="0" w:line="175"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(b)will not, and will not permit any of the Restricted Subsidiaries to, incur, assume or suffer to exist any Guarantee by the Borrower or such Restricted Subsidiary of, or be or become liable for any Indebtedness of any Unrestricted Subsidiary;</w:t>
      </w:r>
    </w:p>
    <w:p>
      <w:pPr>
        <w:spacing w:after="0" w:line="173"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(c)will not permit any Unrestricted Subsidiary to hold any Equity Interest in, or any Indebtedness of, the Borrower or any Restricted Subsidiary;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(d)will not permit any Unrestricted Subsidiary to have any Indebtedness other than Non-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Recourse Debt;</w:t>
      </w:r>
    </w:p>
    <w:p>
      <w:pPr>
        <w:spacing w:after="0" w:line="182"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(e)will not permit any Unrestricted Subsidiary to be a party to any agreement, contract, arrangement or understanding with the Borrower or any Restricted Subsidiary of the Borrower unless the terms of any such agreement, contract, arrangement or understanding are no less favorable to the Borrower or such Restricted Subsidiary than those that might be obtained at the time from Persons who are not Affiliates of the Borrower;</w:t>
      </w:r>
    </w:p>
    <w:p>
      <w:pPr>
        <w:spacing w:after="0" w:line="177"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(f)will not, nor will it permit any of its Restricted Subsidiaries to, have any direct or indirect obligation (i) to subscribe for additional Equity Interests of such Person or (ii) to maintain or preserve such Person’s financial condition or to cause such Person to achieve any specified levels of operating results; and</w:t>
      </w:r>
    </w:p>
    <w:p>
      <w:pPr>
        <w:spacing w:after="0" w:line="180" w:lineRule="exact"/>
        <w:rPr>
          <w:sz w:val="20"/>
          <w:szCs w:val="20"/>
          <w:color w:val="auto"/>
        </w:rPr>
      </w:pPr>
    </w:p>
    <w:p>
      <w:pPr>
        <w:jc w:val="both"/>
        <w:ind w:right="399" w:firstLine="1498"/>
        <w:spacing w:after="0" w:line="282" w:lineRule="auto"/>
        <w:rPr>
          <w:sz w:val="20"/>
          <w:szCs w:val="20"/>
          <w:color w:val="auto"/>
        </w:rPr>
      </w:pPr>
      <w:r>
        <w:rPr>
          <w:rFonts w:ascii="Times New Roman" w:cs="Times New Roman" w:eastAsia="Times New Roman" w:hAnsi="Times New Roman"/>
          <w:sz w:val="21"/>
          <w:szCs w:val="21"/>
          <w:color w:val="auto"/>
        </w:rPr>
        <w:t>(g)will not permit any Unrestricted Subsidiary to Guarantee or otherwise directly or indirectly provide credit support for any Indebtedness of the Borrower or any of its Restricted Subsidiaries.</w:t>
      </w:r>
    </w:p>
    <w:p>
      <w:pPr>
        <w:spacing w:after="0" w:line="135"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 xml:space="preserve">Section 8.19 </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8.20</w:t>
      </w:r>
      <w:r>
        <w:rPr>
          <w:rFonts w:ascii="Times New Roman" w:cs="Times New Roman" w:eastAsia="Times New Roman" w:hAnsi="Times New Roman"/>
          <w:sz w:val="22"/>
          <w:szCs w:val="22"/>
          <w:color w:val="auto"/>
        </w:rPr>
        <w:t xml:space="preserve">, the Borrower and each of its Restricted Subsidiaries will maintain the Administrative Agent as its principal depository bank, including for the maintenance of any Deposit Account, Securities Account or Commodities Account (other than any Excluded Account) for the conduct of its business. Subject to </w:t>
      </w:r>
      <w:r>
        <w:rPr>
          <w:rFonts w:ascii="Times New Roman" w:cs="Times New Roman" w:eastAsia="Times New Roman" w:hAnsi="Times New Roman"/>
          <w:sz w:val="22"/>
          <w:szCs w:val="22"/>
          <w:u w:val="single" w:color="auto"/>
          <w:color w:val="auto"/>
        </w:rPr>
        <w:t>Section 8.20</w:t>
      </w:r>
      <w:r>
        <w:rPr>
          <w:rFonts w:ascii="Times New Roman" w:cs="Times New Roman" w:eastAsia="Times New Roman" w:hAnsi="Times New Roman"/>
          <w:sz w:val="22"/>
          <w:szCs w:val="22"/>
          <w:color w:val="auto"/>
        </w:rPr>
        <w:t>, all such Deposit Accounts, Securities Accounts or Commodities Accounts (other than Excluded Accounts) shall at all times be subject to an Account Control Agreement.</w:t>
      </w:r>
    </w:p>
    <w:p>
      <w:pPr>
        <w:spacing w:after="0" w:line="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43" w:name="page144"/>
    <w:bookmarkEnd w:id="143"/>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 xml:space="preserve">Section 8.20 </w:t>
      </w:r>
      <w:r>
        <w:rPr>
          <w:rFonts w:ascii="Times New Roman" w:cs="Times New Roman" w:eastAsia="Times New Roman" w:hAnsi="Times New Roman"/>
          <w:sz w:val="22"/>
          <w:szCs w:val="22"/>
          <w:u w:val="single" w:color="auto"/>
          <w:color w:val="auto"/>
        </w:rPr>
        <w:t>Post-Closing Covenant</w:t>
      </w:r>
      <w:r>
        <w:rPr>
          <w:rFonts w:ascii="Times New Roman" w:cs="Times New Roman" w:eastAsia="Times New Roman" w:hAnsi="Times New Roman"/>
          <w:sz w:val="22"/>
          <w:szCs w:val="22"/>
          <w:color w:val="auto"/>
        </w:rPr>
        <w:t xml:space="preserve">. The Borrower shall comply with the requirements set forth on </w:t>
      </w:r>
      <w:r>
        <w:rPr>
          <w:rFonts w:ascii="Times New Roman" w:cs="Times New Roman" w:eastAsia="Times New Roman" w:hAnsi="Times New Roman"/>
          <w:sz w:val="22"/>
          <w:szCs w:val="22"/>
          <w:u w:val="single" w:color="auto"/>
          <w:color w:val="auto"/>
        </w:rPr>
        <w:t>Schedule 8.20</w:t>
      </w:r>
      <w:r>
        <w:rPr>
          <w:rFonts w:ascii="Times New Roman" w:cs="Times New Roman" w:eastAsia="Times New Roman" w:hAnsi="Times New Roman"/>
          <w:sz w:val="22"/>
          <w:szCs w:val="22"/>
          <w:color w:val="auto"/>
        </w:rPr>
        <w:t xml:space="preserve"> within the applicable time periods (as such time periods may be extended by the Administrative Agent in its sole discretion). All conditions precedent, covenants and representations and warranties contained in this Agreement and the other Loan Documents shall be deemed modified to the extent necessary to effect the foregoing (and to permit the taking of the actions described on </w:t>
      </w:r>
      <w:r>
        <w:rPr>
          <w:rFonts w:ascii="Times New Roman" w:cs="Times New Roman" w:eastAsia="Times New Roman" w:hAnsi="Times New Roman"/>
          <w:sz w:val="22"/>
          <w:szCs w:val="22"/>
          <w:u w:val="single" w:color="auto"/>
          <w:color w:val="auto"/>
        </w:rPr>
        <w:t>Schedule 8.20</w:t>
      </w:r>
      <w:r>
        <w:rPr>
          <w:rFonts w:ascii="Times New Roman" w:cs="Times New Roman" w:eastAsia="Times New Roman" w:hAnsi="Times New Roman"/>
          <w:sz w:val="22"/>
          <w:szCs w:val="22"/>
          <w:color w:val="auto"/>
        </w:rPr>
        <w:t xml:space="preserve"> within the time periods required by this </w:t>
      </w:r>
      <w:r>
        <w:rPr>
          <w:rFonts w:ascii="Times New Roman" w:cs="Times New Roman" w:eastAsia="Times New Roman" w:hAnsi="Times New Roman"/>
          <w:sz w:val="22"/>
          <w:szCs w:val="22"/>
          <w:u w:val="single" w:color="auto"/>
          <w:color w:val="auto"/>
        </w:rPr>
        <w:t>Section 8.20</w:t>
      </w:r>
      <w:r>
        <w:rPr>
          <w:rFonts w:ascii="Times New Roman" w:cs="Times New Roman" w:eastAsia="Times New Roman" w:hAnsi="Times New Roman"/>
          <w:sz w:val="22"/>
          <w:szCs w:val="22"/>
          <w:color w:val="auto"/>
        </w:rPr>
        <w:t>, rather than as elsewhere provided in the Loan Documents).</w:t>
      </w:r>
    </w:p>
    <w:p>
      <w:pPr>
        <w:spacing w:after="0" w:line="17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Until Payment in Full of the Secured Obligations, the Borrower covenants and agrees with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Lenders that:</w:t>
      </w:r>
    </w:p>
    <w:p>
      <w:pPr>
        <w:spacing w:after="0" w:line="182"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u w:val="single" w:color="auto"/>
          <w:color w:val="auto"/>
        </w:rPr>
        <w:t>Financial Covenants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399" w:firstLine="1498"/>
        <w:spacing w:after="0" w:line="25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Leverage and Interest Coverage Ratios</w:t>
      </w:r>
      <w:r>
        <w:rPr>
          <w:rFonts w:ascii="Times New Roman" w:cs="Times New Roman" w:eastAsia="Times New Roman" w:hAnsi="Times New Roman"/>
          <w:sz w:val="22"/>
          <w:szCs w:val="22"/>
          <w:color w:val="auto"/>
        </w:rPr>
        <w:t>. As of the last day of each Rolling Period ending after the Effective Date (commencing with the Rolling Period ending June 30, 2026):</w:t>
      </w:r>
    </w:p>
    <w:p>
      <w:pPr>
        <w:spacing w:after="0" w:line="158" w:lineRule="exact"/>
        <w:rPr>
          <w:sz w:val="20"/>
          <w:szCs w:val="20"/>
          <w:color w:val="auto"/>
        </w:rPr>
      </w:pPr>
    </w:p>
    <w:p>
      <w:pPr>
        <w:ind w:left="2620" w:hanging="371"/>
        <w:spacing w:after="0"/>
        <w:tabs>
          <w:tab w:leader="none" w:pos="26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Consolidated Interest Coverage Ratio</w:t>
      </w:r>
      <w:r>
        <w:rPr>
          <w:rFonts w:ascii="Times New Roman" w:cs="Times New Roman" w:eastAsia="Times New Roman" w:hAnsi="Times New Roman"/>
          <w:sz w:val="22"/>
          <w:szCs w:val="22"/>
          <w:color w:val="auto"/>
        </w:rPr>
        <w:t>. The Borrower shall not permit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Interest Coverage Ratio as of such date to be less than 2.50 to 1.00; and</w:t>
      </w:r>
    </w:p>
    <w:p>
      <w:pPr>
        <w:spacing w:after="0" w:line="182" w:lineRule="exact"/>
        <w:rPr>
          <w:rFonts w:ascii="Times New Roman" w:cs="Times New Roman" w:eastAsia="Times New Roman" w:hAnsi="Times New Roman"/>
          <w:sz w:val="22"/>
          <w:szCs w:val="22"/>
          <w:color w:val="auto"/>
        </w:rPr>
      </w:pPr>
    </w:p>
    <w:p>
      <w:pPr>
        <w:ind w:right="399" w:firstLine="2249"/>
        <w:spacing w:after="0" w:line="258" w:lineRule="auto"/>
        <w:tabs>
          <w:tab w:leader="none" w:pos="262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Consolidated Net Leverage Ratio</w:t>
      </w:r>
      <w:r>
        <w:rPr>
          <w:rFonts w:ascii="Times New Roman" w:cs="Times New Roman" w:eastAsia="Times New Roman" w:hAnsi="Times New Roman"/>
          <w:sz w:val="22"/>
          <w:szCs w:val="22"/>
          <w:color w:val="auto"/>
        </w:rPr>
        <w:t>. The Borrower shall not permit the Consolidated Net Leverage Ratio as of such date to exceed 4.00 to 1.00.</w:t>
      </w:r>
    </w:p>
    <w:p>
      <w:pPr>
        <w:spacing w:after="0" w:line="158" w:lineRule="exact"/>
        <w:rPr>
          <w:sz w:val="20"/>
          <w:szCs w:val="20"/>
          <w:color w:val="auto"/>
        </w:rPr>
      </w:pPr>
    </w:p>
    <w:p>
      <w:pPr>
        <w:jc w:val="both"/>
        <w:ind w:right="399" w:firstLine="1498"/>
        <w:spacing w:after="0" w:line="251"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u w:val="single" w:color="auto"/>
          <w:color w:val="auto"/>
        </w:rPr>
        <w:t>Right to Cure Leverage or Interest Coverage Default</w:t>
      </w:r>
      <w:r>
        <w:rPr>
          <w:rFonts w:ascii="Times New Roman" w:cs="Times New Roman" w:eastAsia="Times New Roman" w:hAnsi="Times New Roman"/>
          <w:sz w:val="21"/>
          <w:szCs w:val="21"/>
          <w:color w:val="auto"/>
        </w:rPr>
        <w:t xml:space="preserve">. Notwithstanding anything to the contrary contained in this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xml:space="preserve"> or in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in the event that the Borrower fails to comply with the requirements of </w:t>
      </w:r>
      <w:r>
        <w:rPr>
          <w:rFonts w:ascii="Times New Roman" w:cs="Times New Roman" w:eastAsia="Times New Roman" w:hAnsi="Times New Roman"/>
          <w:sz w:val="21"/>
          <w:szCs w:val="21"/>
          <w:u w:val="single" w:color="auto"/>
          <w:color w:val="auto"/>
        </w:rPr>
        <w:t>Section 9.01(a)(i)</w:t>
      </w:r>
      <w:r>
        <w:rPr>
          <w:rFonts w:ascii="Times New Roman" w:cs="Times New Roman" w:eastAsia="Times New Roman" w:hAnsi="Times New Roman"/>
          <w:sz w:val="21"/>
          <w:szCs w:val="21"/>
          <w:color w:val="auto"/>
        </w:rPr>
        <w:t xml:space="preserve"> (any such event, an “</w:t>
      </w:r>
      <w:r>
        <w:rPr>
          <w:rFonts w:ascii="Times New Roman" w:cs="Times New Roman" w:eastAsia="Times New Roman" w:hAnsi="Times New Roman"/>
          <w:sz w:val="21"/>
          <w:szCs w:val="21"/>
          <w:u w:val="single" w:color="auto"/>
          <w:color w:val="auto"/>
        </w:rPr>
        <w:t>Interest Coverage Default</w:t>
      </w:r>
      <w:r>
        <w:rPr>
          <w:rFonts w:ascii="Times New Roman" w:cs="Times New Roman" w:eastAsia="Times New Roman" w:hAnsi="Times New Roman"/>
          <w:sz w:val="21"/>
          <w:szCs w:val="21"/>
          <w:color w:val="auto"/>
        </w:rPr>
        <w:t xml:space="preserve">”) and/or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9.01(a)(ii)</w:t>
      </w:r>
      <w:r>
        <w:rPr>
          <w:rFonts w:ascii="Times New Roman" w:cs="Times New Roman" w:eastAsia="Times New Roman" w:hAnsi="Times New Roman"/>
          <w:sz w:val="21"/>
          <w:szCs w:val="21"/>
          <w:color w:val="auto"/>
        </w:rPr>
        <w:t xml:space="preserve"> (any such event, a “</w:t>
      </w:r>
      <w:r>
        <w:rPr>
          <w:rFonts w:ascii="Times New Roman" w:cs="Times New Roman" w:eastAsia="Times New Roman" w:hAnsi="Times New Roman"/>
          <w:sz w:val="21"/>
          <w:szCs w:val="21"/>
          <w:u w:val="single" w:color="auto"/>
          <w:color w:val="auto"/>
        </w:rPr>
        <w:t>Leverage Covenant Default</w:t>
      </w:r>
      <w:r>
        <w:rPr>
          <w:rFonts w:ascii="Times New Roman" w:cs="Times New Roman" w:eastAsia="Times New Roman" w:hAnsi="Times New Roman"/>
          <w:sz w:val="21"/>
          <w:szCs w:val="21"/>
          <w:color w:val="auto"/>
        </w:rPr>
        <w:t>”), then the Borrower shall have the right to cure any such Default (such right, the “</w:t>
      </w:r>
      <w:r>
        <w:rPr>
          <w:rFonts w:ascii="Times New Roman" w:cs="Times New Roman" w:eastAsia="Times New Roman" w:hAnsi="Times New Roman"/>
          <w:sz w:val="21"/>
          <w:szCs w:val="21"/>
          <w:u w:val="single" w:color="auto"/>
          <w:color w:val="auto"/>
        </w:rPr>
        <w:t>Equity Cure Right</w:t>
      </w:r>
      <w:r>
        <w:rPr>
          <w:rFonts w:ascii="Times New Roman" w:cs="Times New Roman" w:eastAsia="Times New Roman" w:hAnsi="Times New Roman"/>
          <w:sz w:val="21"/>
          <w:szCs w:val="21"/>
          <w:color w:val="auto"/>
        </w:rPr>
        <w:t>”) subject to the following terms and conditions:</w:t>
      </w:r>
    </w:p>
    <w:p>
      <w:pPr>
        <w:spacing w:after="0" w:line="168" w:lineRule="exact"/>
        <w:rPr>
          <w:sz w:val="20"/>
          <w:szCs w:val="20"/>
          <w:color w:val="auto"/>
        </w:rPr>
      </w:pPr>
    </w:p>
    <w:p>
      <w:pPr>
        <w:jc w:val="both"/>
        <w:ind w:right="399" w:firstLine="2249"/>
        <w:spacing w:after="0" w:line="235" w:lineRule="auto"/>
        <w:tabs>
          <w:tab w:leader="none" w:pos="262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deliver to the Administrative Agent irrevocable written notice of its intent to exercise the Equity Cure Right (the “</w:t>
      </w:r>
      <w:r>
        <w:rPr>
          <w:rFonts w:ascii="Times New Roman" w:cs="Times New Roman" w:eastAsia="Times New Roman" w:hAnsi="Times New Roman"/>
          <w:sz w:val="22"/>
          <w:szCs w:val="22"/>
          <w:u w:val="single" w:color="auto"/>
          <w:color w:val="auto"/>
        </w:rPr>
        <w:t>Equity Cure Notice</w:t>
      </w:r>
      <w:r>
        <w:rPr>
          <w:rFonts w:ascii="Times New Roman" w:cs="Times New Roman" w:eastAsia="Times New Roman" w:hAnsi="Times New Roman"/>
          <w:sz w:val="22"/>
          <w:szCs w:val="22"/>
          <w:color w:val="auto"/>
        </w:rPr>
        <w:t>”) no later than ten (10) calendar days after the date on which financial statements and a compliance certificate covering the Rolling Period in respect of which such Default has occurred (such Rolling Period, the “</w:t>
      </w:r>
      <w:r>
        <w:rPr>
          <w:rFonts w:ascii="Times New Roman" w:cs="Times New Roman" w:eastAsia="Times New Roman" w:hAnsi="Times New Roman"/>
          <w:sz w:val="22"/>
          <w:szCs w:val="22"/>
          <w:u w:val="single" w:color="auto"/>
          <w:color w:val="auto"/>
        </w:rPr>
        <w:t>Default Test Period</w:t>
      </w:r>
      <w:r>
        <w:rPr>
          <w:rFonts w:ascii="Times New Roman" w:cs="Times New Roman" w:eastAsia="Times New Roman" w:hAnsi="Times New Roman"/>
          <w:sz w:val="22"/>
          <w:szCs w:val="22"/>
          <w:color w:val="auto"/>
        </w:rPr>
        <w:t xml:space="preserve">”) are required to be delivered pursuant to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as applicable (such delivery date, the “</w:t>
      </w:r>
      <w:r>
        <w:rPr>
          <w:rFonts w:ascii="Times New Roman" w:cs="Times New Roman" w:eastAsia="Times New Roman" w:hAnsi="Times New Roman"/>
          <w:sz w:val="22"/>
          <w:szCs w:val="22"/>
          <w:u w:val="single" w:color="auto"/>
          <w:color w:val="auto"/>
        </w:rPr>
        <w:t>Default Delivery Date</w:t>
      </w:r>
      <w:r>
        <w:rPr>
          <w:rFonts w:ascii="Times New Roman" w:cs="Times New Roman" w:eastAsia="Times New Roman" w:hAnsi="Times New Roman"/>
          <w:sz w:val="22"/>
          <w:szCs w:val="22"/>
          <w:color w:val="auto"/>
        </w:rPr>
        <w:t>”). The Equity Cure Notice shall set forth the calculation of the Equity Cure Amount and be certified by a Financial Officer of the Borrower.</w:t>
      </w:r>
    </w:p>
    <w:p>
      <w:pPr>
        <w:spacing w:after="0" w:line="183" w:lineRule="exact"/>
        <w:rPr>
          <w:rFonts w:ascii="Times New Roman" w:cs="Times New Roman" w:eastAsia="Times New Roman" w:hAnsi="Times New Roman"/>
          <w:sz w:val="22"/>
          <w:szCs w:val="22"/>
          <w:color w:val="auto"/>
        </w:rPr>
      </w:pPr>
    </w:p>
    <w:p>
      <w:pPr>
        <w:jc w:val="both"/>
        <w:ind w:right="399" w:firstLine="2249"/>
        <w:spacing w:after="0" w:line="234" w:lineRule="auto"/>
        <w:tabs>
          <w:tab w:leader="none" w:pos="262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Leverage Covenant Default and any Interest Coverage Default, if the Borrower delivers a timely Equity Cure Notice, Equity Cure Contributions made in or to the Borrower during the period commencing on the last day of the Default Test Period and ending on the date that is ten (10) calendar days after the Default Delivery Date resulting in the Borrower receiving Net Equity Proceeds in an amount not less than the applicable Equity Cure Amount (the date the Borrower receives such Net Equity Proceeds, the “</w:t>
      </w:r>
      <w:r>
        <w:rPr>
          <w:rFonts w:ascii="Times New Roman" w:cs="Times New Roman" w:eastAsia="Times New Roman" w:hAnsi="Times New Roman"/>
          <w:sz w:val="22"/>
          <w:szCs w:val="22"/>
          <w:u w:val="single" w:color="auto"/>
          <w:color w:val="auto"/>
        </w:rPr>
        <w:t>Equity Cure</w:t>
      </w:r>
    </w:p>
    <w:p>
      <w:pPr>
        <w:spacing w:after="0" w:line="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44" w:name="page145"/>
    <w:bookmarkEnd w:id="144"/>
    <w:p>
      <w:pPr>
        <w:jc w:val="both"/>
        <w:ind w:right="399"/>
        <w:spacing w:after="0" w:line="231" w:lineRule="auto"/>
        <w:rPr>
          <w:sz w:val="20"/>
          <w:szCs w:val="20"/>
          <w:color w:val="auto"/>
        </w:rPr>
      </w:pPr>
      <w:r>
        <w:rPr>
          <w:rFonts w:ascii="Times New Roman" w:cs="Times New Roman" w:eastAsia="Times New Roman" w:hAnsi="Times New Roman"/>
          <w:sz w:val="22"/>
          <w:szCs w:val="22"/>
          <w:u w:val="single" w:color="auto"/>
          <w:color w:val="auto"/>
        </w:rPr>
        <w:t>Contribution Date</w:t>
      </w:r>
      <w:r>
        <w:rPr>
          <w:rFonts w:ascii="Times New Roman" w:cs="Times New Roman" w:eastAsia="Times New Roman" w:hAnsi="Times New Roman"/>
          <w:sz w:val="22"/>
          <w:szCs w:val="22"/>
          <w:color w:val="auto"/>
        </w:rPr>
        <w:t xml:space="preserve">”) then, (x) Consolidated EBITDA for the Default Test Period shall be deemed to be increased by an amount equal to the lesser of (1) the amount of Net Equity Proceeds received by the Borrower on the Equity Cure Contribution Date and (2) the applicable Equity Cure Amount with respect to such Leverage Covenant Default and/or Interest Coverage Default, and the Borrower shall be deemed to have satisfied the requirements of </w:t>
      </w:r>
      <w:r>
        <w:rPr>
          <w:rFonts w:ascii="Times New Roman" w:cs="Times New Roman" w:eastAsia="Times New Roman" w:hAnsi="Times New Roman"/>
          <w:sz w:val="22"/>
          <w:szCs w:val="22"/>
          <w:u w:val="single" w:color="auto"/>
          <w:color w:val="auto"/>
        </w:rPr>
        <w:t>clause (a)(i)</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as applicable, of this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as of the last day of the Default Test Period with the same effect as though there was no failure to comply therewith as of such date, and (y) such Leverage Covenant Default and/or such Interest Coverage Default, as the case may be, shall be automatically deemed cured and waived for all purposes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with respect to any such Leverage Covenant Default or Interest Coverage Default, the Equity Cure Amount shall be applied solely to increase Consolidated EBITDA for the Default Test Period to the extent set forth in </w:t>
      </w:r>
      <w:r>
        <w:rPr>
          <w:rFonts w:ascii="Times New Roman" w:cs="Times New Roman" w:eastAsia="Times New Roman" w:hAnsi="Times New Roman"/>
          <w:sz w:val="22"/>
          <w:szCs w:val="22"/>
          <w:u w:val="single" w:color="auto"/>
          <w:color w:val="auto"/>
        </w:rPr>
        <w:t>clause (b)(ii)(x)</w:t>
      </w:r>
      <w:r>
        <w:rPr>
          <w:rFonts w:ascii="Times New Roman" w:cs="Times New Roman" w:eastAsia="Times New Roman" w:hAnsi="Times New Roman"/>
          <w:sz w:val="22"/>
          <w:szCs w:val="22"/>
          <w:color w:val="auto"/>
        </w:rPr>
        <w:t xml:space="preserve"> above (which increase shall also be included in determining Consolidated EBITDA for any Rolling Period that includes the fiscal quarter for which the Equity Cure Amount was paid), (B) for purposes of calculating Annualized EBITDA, the Equity Cure Amount shall not be annualized and instead shall be added after the annualization of Unadjusted Consolidated EBITDA in accordance with the definition of “Annualized EBITDA”, and (C) the Equity Cure Amount shall not be added in calculating Consolidated EBITDA (including calculations of Unadjusted Consolidated EBITDA) for the purposes of determining whether or not the Borrower has satisfied any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financial covenant tests set forth in this Agreement, for determining the Maximum Credit Amount, for determining the amount of any covenant baskets or carve outs, for determining the Applicable Margin or for any other purpose not expressly contemplated by this </w:t>
      </w:r>
      <w:r>
        <w:rPr>
          <w:rFonts w:ascii="Times New Roman" w:cs="Times New Roman" w:eastAsia="Times New Roman" w:hAnsi="Times New Roman"/>
          <w:sz w:val="22"/>
          <w:szCs w:val="22"/>
          <w:u w:val="single" w:color="auto"/>
          <w:color w:val="auto"/>
        </w:rPr>
        <w:t>Section 9.01(b)(ii)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that from the date that financial statements and a compliance certificate are required to be delivered pursuant to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as applicable, and an Equity Cure Notice has been delivered, until the earliest to occur of (I) the Equity Cure Contribution Date or (II) the date on which the Administrative Agent is notified by the Borrower that the Equity Cure Contribution will not be consummated, the Leverage Covenant Default and Interest Coverage Default shall constitute a Default (but not an Event of Default) for all purposes under this Agreement, but neither the Administrative Agent nor any Lender shall impose default interest, accelerate the Secured Obligations, terminate the Commitments or exercise any enforcement remedy against any Loan Party or any of their respective Property, in each case solely with respect to such Leverage Covenant Default and/or Interest Coverage Default.</w:t>
      </w:r>
    </w:p>
    <w:p>
      <w:pPr>
        <w:spacing w:after="0" w:line="202" w:lineRule="exact"/>
        <w:rPr>
          <w:sz w:val="20"/>
          <w:szCs w:val="20"/>
          <w:color w:val="auto"/>
        </w:rPr>
      </w:pPr>
    </w:p>
    <w:p>
      <w:pPr>
        <w:jc w:val="both"/>
        <w:ind w:right="379" w:firstLine="2249"/>
        <w:spacing w:after="0" w:line="238" w:lineRule="auto"/>
        <w:tabs>
          <w:tab w:leader="none" w:pos="262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the foregoing provisions of this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 (A) the Equity Cure Right may only be exercised in connection with a Leverage Covenant Default and/or an Interest Coverage Default, (B) in each period of four consecutive fiscal quarters there shall be at least two fiscal quarters for which the Equity Cure Right is not exercised, and (C) the Equity Cure Right may be exercised no more than four times during the term of this Agreement.</w:t>
      </w:r>
    </w:p>
    <w:p>
      <w:pPr>
        <w:spacing w:after="0" w:line="177" w:lineRule="exact"/>
        <w:rPr>
          <w:sz w:val="20"/>
          <w:szCs w:val="20"/>
          <w:color w:val="auto"/>
        </w:rPr>
      </w:pPr>
    </w:p>
    <w:p>
      <w:pPr>
        <w:ind w:right="799" w:firstLine="747"/>
        <w:spacing w:after="0" w:line="258"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The Borrower will not, and will not permit any Relevant Party to, incur, create, assume or suffer to exist any Indebtedness, except:</w:t>
      </w:r>
    </w:p>
    <w:p>
      <w:pPr>
        <w:spacing w:after="0" w:line="158" w:lineRule="exact"/>
        <w:rPr>
          <w:sz w:val="20"/>
          <w:szCs w:val="20"/>
          <w:color w:val="auto"/>
        </w:rPr>
      </w:pPr>
    </w:p>
    <w:p>
      <w:pPr>
        <w:ind w:left="2240" w:hanging="740"/>
        <w:spacing w:after="0"/>
        <w:tabs>
          <w:tab w:leader="none" w:pos="22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Secured Obligations;</w:t>
      </w:r>
    </w:p>
    <w:p>
      <w:pPr>
        <w:spacing w:after="0" w:line="206"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 xml:space="preserve">(b)Capital Lease Obligations and Indebtedness under Synthetic Leases or Indebtedness that constitutes Purchase Money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aggregate principal amount of all Indebtedness described in this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 xml:space="preserve"> at any one time outstanding</w:t>
      </w:r>
    </w:p>
    <w:p>
      <w:pPr>
        <w:spacing w:after="0" w:line="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45" w:name="page146"/>
    <w:bookmarkEnd w:id="145"/>
    <w:p>
      <w:pPr>
        <w:jc w:val="both"/>
        <w:ind w:right="399"/>
        <w:spacing w:after="0" w:line="238" w:lineRule="auto"/>
        <w:rPr>
          <w:sz w:val="20"/>
          <w:szCs w:val="20"/>
          <w:color w:val="auto"/>
        </w:rPr>
      </w:pPr>
      <w:r>
        <w:rPr>
          <w:rFonts w:ascii="Times New Roman" w:cs="Times New Roman" w:eastAsia="Times New Roman" w:hAnsi="Times New Roman"/>
          <w:sz w:val="22"/>
          <w:szCs w:val="22"/>
          <w:color w:val="auto"/>
        </w:rPr>
        <w:t>shall not exceed $20,000,000, and (ii) such Indebtedness may not be incurred for the purpose of expanding, purchasing or constructing a new Processing Plant or Gathering System (but, for the avoidance of doubt, such Indebtedness may be incurred to purchase replacement equipment, parts, or components for any such new Processing Plants and Gathering Systems and for any existing Processing Plants and Gathering Systems);</w:t>
      </w:r>
    </w:p>
    <w:p>
      <w:pPr>
        <w:spacing w:after="0" w:line="177" w:lineRule="exact"/>
        <w:rPr>
          <w:sz w:val="20"/>
          <w:szCs w:val="20"/>
          <w:color w:val="auto"/>
        </w:rPr>
      </w:pPr>
    </w:p>
    <w:p>
      <w:pPr>
        <w:jc w:val="both"/>
        <w:ind w:right="399" w:firstLine="1498"/>
        <w:spacing w:after="0" w:line="255" w:lineRule="auto"/>
        <w:rPr>
          <w:sz w:val="20"/>
          <w:szCs w:val="20"/>
          <w:color w:val="auto"/>
        </w:rPr>
      </w:pPr>
      <w:r>
        <w:rPr>
          <w:rFonts w:ascii="Times New Roman" w:cs="Times New Roman" w:eastAsia="Times New Roman" w:hAnsi="Times New Roman"/>
          <w:sz w:val="21"/>
          <w:szCs w:val="21"/>
          <w:color w:val="auto"/>
        </w:rPr>
        <w:t>(c)Indebtedness (other than Indebtedness for borrowed money) associated with performance bonds, bid bonds, surety bonds, appeal bonds or customs bonds required in the ordinary course of business or required in connection with the enforcement or defense of rights or claims of the Borrower, any other Relevant Party or any Subsidiary or judgments that do not result in an Event of Default;</w:t>
      </w:r>
    </w:p>
    <w:p>
      <w:pPr>
        <w:spacing w:after="0" w:line="162"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 xml:space="preserve">(d)intercompany Indebtedness between the Borrower and any other Relevant Party (or any of them) (except that (i) a Restricted Subsidiary that is not a Loan Party may extend loans only to other Restricted Subsidiaries that are not Loan Parties and (ii) a Loan Party may not extend loans to a Restricted Subsidiary that is not a Loan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Indebtedness is not held, assigned, transferred, negotiated or pledged to any Person other than a Loan Party (or to the Administrative Agent under the Security Instruments), and (ii) any such Indebtedness owed by (A) a Loan Party shall be subordinated to the Secured Obligations on terms set forth in the Guaranty and Collateral Agreement or (B) a Relevant Party that is not a Loan Party shall be subordinated to the Secured Obligations on terms reasonably acceptable to the Administrative Agent;</w:t>
      </w:r>
    </w:p>
    <w:p>
      <w:pPr>
        <w:spacing w:after="0" w:line="183"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 xml:space="preserve">(e)Guarantees by any Loan Party of Indebtedness of any other Loan Party not otherwise prohibited pursuant to this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and the incurrence by a Loan Party of obligations with respect to surety or other bonds and similar instruments to the extent such obligations are provided as credit support for the obligations of any other Loan Party not otherwise prohibited by this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 xml:space="preserve">(f)obligations (contingent or otherwise) of the Borrower or any Restricted Subsidiary existing or arising under any Hedging Transaction permitted under </w:t>
      </w:r>
      <w:r>
        <w:rPr>
          <w:rFonts w:ascii="Times New Roman" w:cs="Times New Roman" w:eastAsia="Times New Roman" w:hAnsi="Times New Roman"/>
          <w:sz w:val="22"/>
          <w:szCs w:val="22"/>
          <w:u w:val="single" w:color="auto"/>
          <w:color w:val="auto"/>
        </w:rPr>
        <w:t>Section 9.17</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(g)endorsements of negotiable instruments for collection, deposit or negotiation, in each case, incurred in the ordinary course of business;</w:t>
      </w:r>
    </w:p>
    <w:p>
      <w:pPr>
        <w:spacing w:after="0" w:line="158"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 xml:space="preserve">(h)contingent liabilities arising with respect to customary indemnification obligations in favor of sellers in connection with acquisitions permitted under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xml:space="preserve"> and purchasers in connection with Dispositions permitted under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2240" w:hanging="740"/>
        <w:spacing w:after="0"/>
        <w:tabs>
          <w:tab w:leader="none" w:pos="22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compensation arrangements in the ordinary course of business;</w:t>
      </w:r>
    </w:p>
    <w:p>
      <w:pPr>
        <w:spacing w:after="0" w:line="206"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 xml:space="preserve">(j)Indebtedness consisting of the financing of insurance premiums in the ordinary course of business,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Indebtedness does not exceed the amount of the unpaid cost of, and shall be incurred only to defer the cost of, the underlying policy;</w:t>
      </w:r>
    </w:p>
    <w:p>
      <w:pPr>
        <w:spacing w:after="0" w:line="173" w:lineRule="exact"/>
        <w:rPr>
          <w:sz w:val="20"/>
          <w:szCs w:val="20"/>
          <w:color w:val="auto"/>
        </w:rPr>
      </w:pPr>
    </w:p>
    <w:p>
      <w:pPr>
        <w:ind w:right="1739" w:firstLine="1500"/>
        <w:spacing w:after="0" w:line="243" w:lineRule="auto"/>
        <w:tabs>
          <w:tab w:leader="none" w:pos="224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unsecured Indebtedness of the Relevant Parties not to exceed $20,000,000 in the aggregate at any one time outstanding;</w:t>
      </w:r>
    </w:p>
    <w:p>
      <w:pPr>
        <w:ind w:left="5100"/>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46" w:name="page147"/>
    <w:bookmarkEnd w:id="146"/>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(l)Indebtedness arising (i) from the honoring by a bank or other financial institution of a check, draft, payment order or other debit drawn, presented or issued against insufficient funds in the ordinary course of business so long as such Indebtedness is extinguished within five (5) Business Days of its incurrence or (ii) under any cash management or treasury management arrangement provided by a bank or other financial institution in the ordinary course of business; and</w:t>
      </w:r>
    </w:p>
    <w:p>
      <w:pPr>
        <w:spacing w:after="0" w:line="177"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(m)to the extent constituting Indebtedness, the obligations of the Borrower under the Pinnacle Redemption Agreement.</w:t>
      </w:r>
    </w:p>
    <w:p>
      <w:pPr>
        <w:spacing w:after="0" w:line="158" w:lineRule="exact"/>
        <w:rPr>
          <w:sz w:val="20"/>
          <w:szCs w:val="20"/>
          <w:color w:val="auto"/>
        </w:rPr>
      </w:pPr>
    </w:p>
    <w:p>
      <w:pPr>
        <w:jc w:val="both"/>
        <w:ind w:right="399" w:firstLine="747"/>
        <w:spacing w:after="0" w:line="282" w:lineRule="auto"/>
        <w:rPr>
          <w:sz w:val="20"/>
          <w:szCs w:val="20"/>
          <w:color w:val="auto"/>
        </w:rPr>
      </w:pPr>
      <w:r>
        <w:rPr>
          <w:rFonts w:ascii="Times New Roman" w:cs="Times New Roman" w:eastAsia="Times New Roman" w:hAnsi="Times New Roman"/>
          <w:sz w:val="21"/>
          <w:szCs w:val="21"/>
          <w:color w:val="auto"/>
        </w:rPr>
        <w:t xml:space="preserve">Section 9.03 </w:t>
      </w:r>
      <w:r>
        <w:rPr>
          <w:rFonts w:ascii="Times New Roman" w:cs="Times New Roman" w:eastAsia="Times New Roman" w:hAnsi="Times New Roman"/>
          <w:sz w:val="21"/>
          <w:szCs w:val="21"/>
          <w:u w:val="single" w:color="auto"/>
          <w:color w:val="auto"/>
        </w:rPr>
        <w:t>Liens</w:t>
      </w:r>
      <w:r>
        <w:rPr>
          <w:rFonts w:ascii="Times New Roman" w:cs="Times New Roman" w:eastAsia="Times New Roman" w:hAnsi="Times New Roman"/>
          <w:sz w:val="21"/>
          <w:szCs w:val="21"/>
          <w:color w:val="auto"/>
        </w:rPr>
        <w:t>. The Borrower will not, and will not permit any Relevant Party to, create, incur, assume or permit to exist any Liens on any of its Properties (now owned or hereafter acquired), except:</w:t>
      </w:r>
    </w:p>
    <w:p>
      <w:pPr>
        <w:spacing w:after="0" w:line="1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(a)Liens securing the payment of any Secured Obligations pursuant to the Security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Instruments;</w:t>
      </w:r>
    </w:p>
    <w:p>
      <w:pPr>
        <w:spacing w:after="0" w:line="182" w:lineRule="exact"/>
        <w:rPr>
          <w:sz w:val="20"/>
          <w:szCs w:val="20"/>
          <w:color w:val="auto"/>
        </w:rPr>
      </w:pPr>
    </w:p>
    <w:p>
      <w:pPr>
        <w:ind w:left="2240" w:hanging="740"/>
        <w:spacing w:after="0"/>
        <w:tabs>
          <w:tab w:leader="none" w:pos="22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Excepted Liens;</w:t>
      </w:r>
    </w:p>
    <w:p>
      <w:pPr>
        <w:spacing w:after="0" w:line="206"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 xml:space="preserve">(c)Liens securing Capital Lease Obligations and Purchase Money Indebtedness permitted by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 xml:space="preserve"> but only on the Property under lease or the Property purchased with such Purchase Money Indebtedness, as applicable, together with accessions and improvements thereto, insurance thereon and proceeds of the foregoing;</w:t>
      </w:r>
    </w:p>
    <w:p>
      <w:pPr>
        <w:spacing w:after="0" w:line="180" w:lineRule="exact"/>
        <w:rPr>
          <w:sz w:val="20"/>
          <w:szCs w:val="20"/>
          <w:color w:val="auto"/>
        </w:rPr>
      </w:pPr>
    </w:p>
    <w:p>
      <w:pPr>
        <w:jc w:val="both"/>
        <w:ind w:right="399"/>
        <w:spacing w:after="0" w:line="238" w:lineRule="auto"/>
        <w:rPr>
          <w:sz w:val="20"/>
          <w:szCs w:val="20"/>
          <w:color w:val="auto"/>
        </w:rPr>
      </w:pPr>
      <w:r>
        <w:rPr>
          <w:rFonts w:ascii="Times New Roman" w:cs="Times New Roman" w:eastAsia="Times New Roman" w:hAnsi="Times New Roman"/>
          <w:sz w:val="22"/>
          <w:szCs w:val="22"/>
          <w:color w:val="auto"/>
        </w:rPr>
        <w:t xml:space="preserve">it being understood that, except with respect to Liens permitted under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above, nothing in this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or elsewhere in this Agreement shall be deemed to constitute or otherwise be construed as an agreement by the Administrative Agent or any other Secured Party to subordinate the Secured Obligations or any Liens granted in favor of the Administrative Agent for the benefit of the Secured Parties pursuant to the Loan Documents to any other Permitted Lien or obligations.</w:t>
      </w:r>
    </w:p>
    <w:p>
      <w:pPr>
        <w:spacing w:after="0" w:line="177"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 xml:space="preserve">(d)Liens attaching to cash earnest money deposits made by a Relevant Party or other escrowed amounts in connection with an actual or anticipated acquisition by a Relevant Party permitted under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xml:space="preserve"> in an aggregate amount not to exceed $5,000,000 at any time outstanding;</w:t>
      </w:r>
    </w:p>
    <w:p>
      <w:pPr>
        <w:spacing w:after="0" w:line="173" w:lineRule="exact"/>
        <w:rPr>
          <w:sz w:val="20"/>
          <w:szCs w:val="20"/>
          <w:color w:val="auto"/>
        </w:rPr>
      </w:pPr>
    </w:p>
    <w:p>
      <w:pPr>
        <w:ind w:left="2240" w:hanging="740"/>
        <w:spacing w:after="0"/>
        <w:tabs>
          <w:tab w:leader="none" w:pos="22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Equity Interests of any Unrestricted Subsidiary;</w:t>
      </w:r>
    </w:p>
    <w:p>
      <w:pPr>
        <w:spacing w:after="0" w:line="202" w:lineRule="exact"/>
        <w:rPr>
          <w:sz w:val="20"/>
          <w:szCs w:val="20"/>
          <w:color w:val="auto"/>
        </w:rPr>
      </w:pPr>
    </w:p>
    <w:p>
      <w:pPr>
        <w:jc w:val="both"/>
        <w:ind w:right="399" w:firstLine="1498"/>
        <w:spacing w:after="0" w:line="246" w:lineRule="auto"/>
        <w:rPr>
          <w:sz w:val="20"/>
          <w:szCs w:val="20"/>
          <w:color w:val="auto"/>
        </w:rPr>
      </w:pPr>
      <w:r>
        <w:rPr>
          <w:rFonts w:ascii="Times New Roman" w:cs="Times New Roman" w:eastAsia="Times New Roman" w:hAnsi="Times New Roman"/>
          <w:sz w:val="22"/>
          <w:szCs w:val="22"/>
          <w:color w:val="auto"/>
        </w:rPr>
        <w:t xml:space="preserve">(f)Liens securing Indebtedness permitted under </w:t>
      </w:r>
      <w:r>
        <w:rPr>
          <w:rFonts w:ascii="Times New Roman" w:cs="Times New Roman" w:eastAsia="Times New Roman" w:hAnsi="Times New Roman"/>
          <w:sz w:val="22"/>
          <w:szCs w:val="22"/>
          <w:u w:val="single" w:color="auto"/>
          <w:color w:val="auto"/>
        </w:rPr>
        <w:t>Section 9.02(j)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do not attach or otherwise extend to any Property of any Relevant Party other than the proceeds of insurance policies the premiums of which are financed by such Indebtedness; and</w:t>
      </w:r>
    </w:p>
    <w:p>
      <w:pPr>
        <w:spacing w:after="0" w:line="171" w:lineRule="exact"/>
        <w:rPr>
          <w:sz w:val="20"/>
          <w:szCs w:val="20"/>
          <w:color w:val="auto"/>
        </w:rPr>
      </w:pPr>
    </w:p>
    <w:p>
      <w:pPr>
        <w:ind w:left="2240" w:hanging="740"/>
        <w:spacing w:after="0"/>
        <w:tabs>
          <w:tab w:leader="none" w:pos="22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securing obligations in an aggregate amount not to exceed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$2,500,000 at any time.</w:t>
      </w:r>
    </w:p>
    <w:p>
      <w:pPr>
        <w:spacing w:after="0" w:line="182" w:lineRule="exact"/>
        <w:rPr>
          <w:sz w:val="20"/>
          <w:szCs w:val="20"/>
          <w:color w:val="auto"/>
        </w:rPr>
      </w:pPr>
    </w:p>
    <w:p>
      <w:pPr>
        <w:jc w:val="both"/>
        <w:ind w:right="399"/>
        <w:spacing w:after="0" w:line="238" w:lineRule="auto"/>
        <w:rPr>
          <w:sz w:val="20"/>
          <w:szCs w:val="20"/>
          <w:color w:val="auto"/>
        </w:rPr>
      </w:pPr>
      <w:r>
        <w:rPr>
          <w:rFonts w:ascii="Times New Roman" w:cs="Times New Roman" w:eastAsia="Times New Roman" w:hAnsi="Times New Roman"/>
          <w:sz w:val="22"/>
          <w:szCs w:val="22"/>
          <w:color w:val="auto"/>
        </w:rPr>
        <w:t xml:space="preserve">No intention to subordinate the first priority Liens granted in favor of the Administrative Agent for the benefit of the Secured Parties pursuant to the Security Instruments is to be hereby implied or expressed by the permitted existence of Liens pursuant to this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w:t>
      </w:r>
    </w:p>
    <w:p>
      <w:pPr>
        <w:spacing w:after="0" w:line="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47" w:name="page148"/>
    <w:bookmarkEnd w:id="147"/>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The Borrower will not, and will not permit any other Relevant Party to, declare or make, or agree to pay or make, directly or indirectly (collectively in this Section, “</w:t>
      </w:r>
      <w:r>
        <w:rPr>
          <w:rFonts w:ascii="Times New Roman" w:cs="Times New Roman" w:eastAsia="Times New Roman" w:hAnsi="Times New Roman"/>
          <w:sz w:val="22"/>
          <w:szCs w:val="22"/>
          <w:u w:val="single" w:color="auto"/>
          <w:color w:val="auto"/>
        </w:rPr>
        <w:t>make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making</w:t>
      </w:r>
      <w:r>
        <w:rPr>
          <w:rFonts w:ascii="Times New Roman" w:cs="Times New Roman" w:eastAsia="Times New Roman" w:hAnsi="Times New Roman"/>
          <w:sz w:val="22"/>
          <w:szCs w:val="22"/>
          <w:color w:val="auto"/>
        </w:rPr>
        <w:t>”, as the case may be), any Restricted Payment, except:</w:t>
      </w:r>
    </w:p>
    <w:p>
      <w:pPr>
        <w:spacing w:after="0" w:line="173"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(a)Restricted Subsidiaries may declare and pay dividends ratably (or on a basis more favorable to the Borrower or its Restricted Subsidiaries) with respect to their Equity Interests;</w:t>
      </w:r>
    </w:p>
    <w:p>
      <w:pPr>
        <w:spacing w:after="0" w:line="158" w:lineRule="exact"/>
        <w:rPr>
          <w:sz w:val="20"/>
          <w:szCs w:val="20"/>
          <w:color w:val="auto"/>
        </w:rPr>
      </w:pPr>
    </w:p>
    <w:p>
      <w:pPr>
        <w:jc w:val="both"/>
        <w:ind w:right="399" w:firstLine="1498"/>
        <w:spacing w:after="0" w:line="282" w:lineRule="auto"/>
        <w:rPr>
          <w:sz w:val="20"/>
          <w:szCs w:val="20"/>
          <w:color w:val="auto"/>
        </w:rPr>
      </w:pPr>
      <w:r>
        <w:rPr>
          <w:rFonts w:ascii="Times New Roman" w:cs="Times New Roman" w:eastAsia="Times New Roman" w:hAnsi="Times New Roman"/>
          <w:sz w:val="21"/>
          <w:szCs w:val="21"/>
          <w:color w:val="auto"/>
        </w:rPr>
        <w:t>(b)the Borrower may make Restricted Payments with respect to any of its Equity Interests payable solely in additional shares of any of its Equity Interests (other than Disqualified Equity Interests);</w:t>
      </w:r>
    </w:p>
    <w:p>
      <w:pPr>
        <w:spacing w:after="0" w:line="1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(c)the Borrower may pay Permitted Tax Distributions in accordance with its Organization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Documents;</w:t>
      </w:r>
    </w:p>
    <w:p>
      <w:pPr>
        <w:spacing w:after="0" w:line="182"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(d)at any time after the Initial Period, the Borrower may declare and make Restricted Payments in cash in an amount not to exceed Available Cash so long as immediately before and after giving effect to any such Restricted Payment and both at the time such Restricted Payment is declared and at the time such Restricted Payment is made, each of the following conditions is satisfied:</w:t>
      </w:r>
    </w:p>
    <w:p>
      <w:pPr>
        <w:spacing w:after="0" w:line="180" w:lineRule="exact"/>
        <w:rPr>
          <w:sz w:val="20"/>
          <w:szCs w:val="20"/>
          <w:color w:val="auto"/>
        </w:rPr>
      </w:pPr>
    </w:p>
    <w:p>
      <w:pPr>
        <w:ind w:left="3000" w:hanging="751"/>
        <w:spacing w:after="0"/>
        <w:tabs>
          <w:tab w:leader="none" w:pos="30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exists or would result therefrom;</w:t>
      </w:r>
    </w:p>
    <w:p>
      <w:pPr>
        <w:spacing w:after="0" w:line="206" w:lineRule="exact"/>
        <w:rPr>
          <w:rFonts w:ascii="Times New Roman" w:cs="Times New Roman" w:eastAsia="Times New Roman" w:hAnsi="Times New Roman"/>
          <w:sz w:val="22"/>
          <w:szCs w:val="22"/>
          <w:color w:val="auto"/>
        </w:rPr>
      </w:pPr>
    </w:p>
    <w:p>
      <w:pPr>
        <w:ind w:left="2620" w:hanging="371"/>
        <w:spacing w:after="0"/>
        <w:tabs>
          <w:tab w:leader="none" w:pos="26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Net Leverage Ratio shall not exceed 3.00 to 1.00 on a pro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forma basis; and</w:t>
      </w:r>
    </w:p>
    <w:p>
      <w:pPr>
        <w:spacing w:after="0" w:line="182" w:lineRule="exact"/>
        <w:rPr>
          <w:sz w:val="20"/>
          <w:szCs w:val="20"/>
          <w:color w:val="auto"/>
        </w:rPr>
      </w:pPr>
    </w:p>
    <w:p>
      <w:pPr>
        <w:ind w:left="3000" w:hanging="751"/>
        <w:spacing w:after="0"/>
        <w:tabs>
          <w:tab w:leader="none" w:pos="30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Liquidity is not less than 15% of the total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Commitments;</w:t>
      </w:r>
    </w:p>
    <w:p>
      <w:pPr>
        <w:spacing w:after="0" w:line="182" w:lineRule="exact"/>
        <w:rPr>
          <w:sz w:val="20"/>
          <w:szCs w:val="20"/>
          <w:color w:val="auto"/>
        </w:rPr>
      </w:pPr>
    </w:p>
    <w:p>
      <w:pPr>
        <w:ind w:left="2240" w:hanging="740"/>
        <w:spacing w:after="0"/>
        <w:tabs>
          <w:tab w:leader="none" w:pos="22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Restricted Payments to the holders of Pinnacle</w:t>
      </w:r>
    </w:p>
    <w:p>
      <w:pPr>
        <w:spacing w:after="0" w:line="14" w:lineRule="exact"/>
        <w:rPr>
          <w:sz w:val="20"/>
          <w:szCs w:val="20"/>
          <w:color w:val="auto"/>
        </w:rPr>
      </w:pPr>
    </w:p>
    <w:p>
      <w:pPr>
        <w:jc w:val="both"/>
        <w:ind w:right="399"/>
        <w:spacing w:after="0" w:line="233" w:lineRule="auto"/>
        <w:rPr>
          <w:sz w:val="20"/>
          <w:szCs w:val="20"/>
          <w:color w:val="auto"/>
        </w:rPr>
      </w:pPr>
      <w:r>
        <w:rPr>
          <w:rFonts w:ascii="Times New Roman" w:cs="Times New Roman" w:eastAsia="Times New Roman" w:hAnsi="Times New Roman"/>
          <w:sz w:val="22"/>
          <w:szCs w:val="22"/>
          <w:color w:val="auto"/>
        </w:rPr>
        <w:t>Preferred Equity Interests in accordance with the PGS LLC Agreement as in effect on the Effective Date so long as immediately before and after giving pro forma effect thereto (i) no Default or Event of Default has occurred and is continuing or would result therefrom, (ii) the Consolidated Net Leverage Ratio shall not exceed 3.75 to 1.00 on a pro forma basis and (iii) the Loan Parties’ Liquidity is not less than 10% of the total Commitments;</w:t>
      </w:r>
    </w:p>
    <w:p>
      <w:pPr>
        <w:spacing w:after="0" w:line="179"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(f)the Borrower may redeem Pinnacle Preferred Equity Interests so long as immediately before and after giving pro forma effect thereto (i) no Default or Event of Default has occurred and is continuing or would result therefrom, (ii) the Consolidated Net Leverage Ratio shall not exceed 2.00 to 1.00 on a pro forma basis and (iii) the Loan Parties’ Liquidity is not less than 20% of the total Commitments; and</w:t>
      </w:r>
    </w:p>
    <w:p>
      <w:pPr>
        <w:spacing w:after="0" w:line="177"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 xml:space="preserve">(g)so long as (i) no Default or Event of Default has occurred and is continuing or would result therefrom and (ii) immediately after giving effect thereto, the Consolidated Net Leverage Ratio shall not exceed 3.00 to 1.00 on a pro forma basis, the Borrower may consummate the Specified Pinnacle Equity Redemption;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on the date thereof (the “</w:t>
      </w:r>
      <w:r>
        <w:rPr>
          <w:rFonts w:ascii="Times New Roman" w:cs="Times New Roman" w:eastAsia="Times New Roman" w:hAnsi="Times New Roman"/>
          <w:sz w:val="22"/>
          <w:szCs w:val="22"/>
          <w:u w:val="single" w:color="auto"/>
          <w:color w:val="auto"/>
        </w:rPr>
        <w:t>Pinnacle Redemption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 the Borrower must redeem all, and not less than all, of the then outstanding Pinnacle Preferred Equity Interests and (y) if the Pinnacle Redemption Effective Date occurs during the Initial Period, the Borrower shall deliver to the</w:t>
      </w:r>
    </w:p>
    <w:p>
      <w:pPr>
        <w:spacing w:after="0" w:line="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48" w:name="page149"/>
    <w:bookmarkEnd w:id="148"/>
    <w:p>
      <w:pPr>
        <w:jc w:val="both"/>
        <w:ind w:right="399"/>
        <w:spacing w:after="0" w:line="238" w:lineRule="auto"/>
        <w:rPr>
          <w:sz w:val="20"/>
          <w:szCs w:val="20"/>
          <w:color w:val="auto"/>
        </w:rPr>
      </w:pPr>
      <w:r>
        <w:rPr>
          <w:rFonts w:ascii="Times New Roman" w:cs="Times New Roman" w:eastAsia="Times New Roman" w:hAnsi="Times New Roman"/>
          <w:sz w:val="22"/>
          <w:szCs w:val="22"/>
          <w:color w:val="auto"/>
        </w:rPr>
        <w:t>Administrative Agent a certificate of a Responsible Officer of the Borrower setting forth a reasonably detailed pro forma calculation (after giving effect to the Specified Pinnacle Equity Redemption and any Borrowings to be made on the Pinnacle Redemption Effective Date) of the Initial Period Consolidated Net Leverage Ratio as of the Pinnacle Redemption Effective Date (such certificate, the “</w:t>
      </w:r>
      <w:r>
        <w:rPr>
          <w:rFonts w:ascii="Times New Roman" w:cs="Times New Roman" w:eastAsia="Times New Roman" w:hAnsi="Times New Roman"/>
          <w:sz w:val="22"/>
          <w:szCs w:val="22"/>
          <w:u w:val="single" w:color="auto"/>
          <w:color w:val="auto"/>
        </w:rPr>
        <w:t>Pinnacle Redemption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Investments, Loans, Advances and Acquisitions</w:t>
      </w:r>
      <w:r>
        <w:rPr>
          <w:rFonts w:ascii="Times New Roman" w:cs="Times New Roman" w:eastAsia="Times New Roman" w:hAnsi="Times New Roman"/>
          <w:sz w:val="22"/>
          <w:szCs w:val="22"/>
          <w:color w:val="auto"/>
        </w:rPr>
        <w:t>. The Borrower will not, and will not permit any Relevant Party to, make or permit to remain outstanding any Investments other than:</w:t>
      </w:r>
    </w:p>
    <w:p>
      <w:pPr>
        <w:spacing w:after="0" w:line="158" w:lineRule="exact"/>
        <w:rPr>
          <w:sz w:val="20"/>
          <w:szCs w:val="20"/>
          <w:color w:val="auto"/>
        </w:rPr>
      </w:pPr>
    </w:p>
    <w:p>
      <w:pPr>
        <w:ind w:left="2240" w:hanging="740"/>
        <w:spacing w:after="0"/>
        <w:tabs>
          <w:tab w:leader="none" w:pos="22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Equivalents;</w:t>
      </w:r>
    </w:p>
    <w:p>
      <w:pPr>
        <w:spacing w:after="0" w:line="206"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(b)Investments by the Borrower and the Guarantors existing on the date hereof in the Equity Interests of their respective Subsidiaries;</w:t>
      </w:r>
    </w:p>
    <w:p>
      <w:pPr>
        <w:spacing w:after="0" w:line="158"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 xml:space="preserve">(c)Investments (i) by the Borrower or any Guarantor in any Guarantor (or in any newly-formed or acquired Subsidiary that becomes a Guarantors pursuant to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xml:space="preserve"> substantially concurrently with the making of such Investment) or by any Guarantor in the Borrower and (ii) by any Restricted Subsidiary that is not a Guarantor in the Borrower or any other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loans by a Restricted Subsidiary that is not a Guarantor to the Borrower or a Guarantor shall be subordinated in right of payment to the Secured Obligations on terms reasonably satisfactory to the Administrative Agent);</w:t>
      </w:r>
    </w:p>
    <w:p>
      <w:pPr>
        <w:spacing w:after="0" w:line="183" w:lineRule="exact"/>
        <w:rPr>
          <w:sz w:val="20"/>
          <w:szCs w:val="20"/>
          <w:color w:val="auto"/>
        </w:rPr>
      </w:pPr>
    </w:p>
    <w:p>
      <w:pPr>
        <w:ind w:left="2240" w:hanging="740"/>
        <w:spacing w:after="0"/>
        <w:tabs>
          <w:tab w:leader="none" w:pos="22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constituting Indebtedness permitted by </w:t>
      </w:r>
      <w:r>
        <w:rPr>
          <w:rFonts w:ascii="Times New Roman" w:cs="Times New Roman" w:eastAsia="Times New Roman" w:hAnsi="Times New Roman"/>
          <w:sz w:val="22"/>
          <w:szCs w:val="22"/>
          <w:u w:val="single" w:color="auto"/>
          <w:color w:val="auto"/>
        </w:rPr>
        <w:t>Section 9.02(e)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(e)advances to officers, directors and employees of the Borrower and Restricted Subsidiaries in an aggregate amount not to exceed $250,000 at any time outstanding, for travel, entertainment, relocation and analogous ordinary business purposes;</w:t>
      </w:r>
    </w:p>
    <w:p>
      <w:pPr>
        <w:spacing w:after="0" w:line="173" w:lineRule="exact"/>
        <w:rPr>
          <w:sz w:val="20"/>
          <w:szCs w:val="20"/>
          <w:color w:val="auto"/>
        </w:rPr>
      </w:pPr>
    </w:p>
    <w:p>
      <w:pPr>
        <w:ind w:left="2240" w:hanging="740"/>
        <w:spacing w:after="0"/>
        <w:tabs>
          <w:tab w:leader="none" w:pos="22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deposits in the ordinary course of business;</w:t>
      </w:r>
    </w:p>
    <w:p>
      <w:pPr>
        <w:spacing w:after="0" w:line="206"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 xml:space="preserve">(g)(i) Investments consisting of extensions of credit in the nature of accounts receivable or notes receivable arising from the grant of trade credit in the ordinary course of business, and (ii) Investments received in satisfaction or partial satisfaction thereof from financially troubled account debtors to the extent reasonably necessary in order to prevent or limit loss;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give the Administrative Agent prompt written notice in the event that the aggregate amount of all Investments held at any one time under this </w:t>
      </w:r>
      <w:r>
        <w:rPr>
          <w:rFonts w:ascii="Times New Roman" w:cs="Times New Roman" w:eastAsia="Times New Roman" w:hAnsi="Times New Roman"/>
          <w:sz w:val="22"/>
          <w:szCs w:val="22"/>
          <w:u w:val="single" w:color="auto"/>
          <w:color w:val="auto"/>
        </w:rPr>
        <w:t>Section 9.05(g)(ii)</w:t>
      </w:r>
      <w:r>
        <w:rPr>
          <w:rFonts w:ascii="Times New Roman" w:cs="Times New Roman" w:eastAsia="Times New Roman" w:hAnsi="Times New Roman"/>
          <w:sz w:val="22"/>
          <w:szCs w:val="22"/>
          <w:color w:val="auto"/>
        </w:rPr>
        <w:t xml:space="preserve"> exceeds $5,000,000;</w:t>
      </w:r>
    </w:p>
    <w:p>
      <w:pPr>
        <w:spacing w:after="0" w:line="181"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 xml:space="preserve">(h)Investments received as the non-cash portion of consideration received in connection with dispositions of Property permitted under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419" w:firstLine="1498"/>
        <w:spacing w:after="0" w:line="258" w:lineRule="auto"/>
        <w:rPr>
          <w:sz w:val="20"/>
          <w:szCs w:val="20"/>
          <w:color w:val="auto"/>
        </w:rPr>
      </w:pPr>
      <w:r>
        <w:rPr>
          <w:rFonts w:ascii="Times New Roman" w:cs="Times New Roman" w:eastAsia="Times New Roman" w:hAnsi="Times New Roman"/>
          <w:sz w:val="22"/>
          <w:szCs w:val="22"/>
          <w:color w:val="auto"/>
        </w:rPr>
        <w:t>(i)Investments consisting of deposits made in the ordinary course of business securing obligations or performance under contracts;</w:t>
      </w:r>
    </w:p>
    <w:p>
      <w:pPr>
        <w:spacing w:after="0" w:line="158" w:lineRule="exact"/>
        <w:rPr>
          <w:sz w:val="20"/>
          <w:szCs w:val="20"/>
          <w:color w:val="auto"/>
        </w:rPr>
      </w:pPr>
    </w:p>
    <w:p>
      <w:pPr>
        <w:jc w:val="both"/>
        <w:ind w:right="399" w:firstLine="1498"/>
        <w:spacing w:after="0" w:line="243" w:lineRule="auto"/>
        <w:rPr>
          <w:sz w:val="20"/>
          <w:szCs w:val="20"/>
          <w:color w:val="auto"/>
        </w:rPr>
      </w:pPr>
      <w:r>
        <w:rPr>
          <w:rFonts w:ascii="Times New Roman" w:cs="Times New Roman" w:eastAsia="Times New Roman" w:hAnsi="Times New Roman"/>
          <w:sz w:val="22"/>
          <w:szCs w:val="22"/>
          <w:color w:val="auto"/>
        </w:rPr>
        <w:t>(j)non-hostile purchases or acquisitions made by any Loan Party, whether in one or more related transactions, of 100% of the Equity Interests in any Person or group of Persons</w:t>
      </w:r>
    </w:p>
    <w:p>
      <w:pPr>
        <w:ind w:left="5100"/>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49" w:name="page150"/>
    <w:bookmarkEnd w:id="149"/>
    <w:p>
      <w:pPr>
        <w:ind w:right="839"/>
        <w:spacing w:after="0" w:line="258" w:lineRule="auto"/>
        <w:rPr>
          <w:sz w:val="20"/>
          <w:szCs w:val="20"/>
          <w:color w:val="auto"/>
        </w:rPr>
      </w:pPr>
      <w:r>
        <w:rPr>
          <w:rFonts w:ascii="Times New Roman" w:cs="Times New Roman" w:eastAsia="Times New Roman" w:hAnsi="Times New Roman"/>
          <w:sz w:val="22"/>
          <w:szCs w:val="22"/>
          <w:color w:val="auto"/>
        </w:rPr>
        <w:t>or of Midstream Properties comprising a business unit, so long as at the time of the making of any such purchase or acquisition and after giving effect thereto:</w:t>
      </w:r>
    </w:p>
    <w:p>
      <w:pPr>
        <w:spacing w:after="0" w:line="158" w:lineRule="exact"/>
        <w:rPr>
          <w:sz w:val="20"/>
          <w:szCs w:val="20"/>
          <w:color w:val="auto"/>
        </w:rPr>
      </w:pPr>
    </w:p>
    <w:p>
      <w:pPr>
        <w:ind w:left="3000" w:hanging="751"/>
        <w:spacing w:after="0"/>
        <w:tabs>
          <w:tab w:leader="none" w:pos="30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exists or would result therefrom;</w:t>
      </w:r>
    </w:p>
    <w:p>
      <w:pPr>
        <w:spacing w:after="0" w:line="206" w:lineRule="exact"/>
        <w:rPr>
          <w:rFonts w:ascii="Times New Roman" w:cs="Times New Roman" w:eastAsia="Times New Roman" w:hAnsi="Times New Roman"/>
          <w:sz w:val="22"/>
          <w:szCs w:val="22"/>
          <w:color w:val="auto"/>
        </w:rPr>
      </w:pPr>
    </w:p>
    <w:p>
      <w:pPr>
        <w:ind w:right="399" w:firstLine="2249"/>
        <w:spacing w:after="0" w:line="258" w:lineRule="auto"/>
        <w:tabs>
          <w:tab w:leader="none" w:pos="262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target Person or group of Persons or business unit, as applicable, is in a line of business permitted under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w:t>
      </w:r>
    </w:p>
    <w:p>
      <w:pPr>
        <w:spacing w:after="0" w:line="154" w:lineRule="exact"/>
        <w:rPr>
          <w:rFonts w:ascii="Times New Roman" w:cs="Times New Roman" w:eastAsia="Times New Roman" w:hAnsi="Times New Roman"/>
          <w:sz w:val="22"/>
          <w:szCs w:val="22"/>
          <w:color w:val="auto"/>
        </w:rPr>
      </w:pPr>
    </w:p>
    <w:p>
      <w:pPr>
        <w:ind w:right="399" w:firstLine="2249"/>
        <w:spacing w:after="0" w:line="262" w:lineRule="auto"/>
        <w:tabs>
          <w:tab w:leader="none" w:pos="262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is in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compliance with </w:t>
      </w:r>
      <w:r>
        <w:rPr>
          <w:rFonts w:ascii="Times New Roman" w:cs="Times New Roman" w:eastAsia="Times New Roman" w:hAnsi="Times New Roman"/>
          <w:sz w:val="22"/>
          <w:szCs w:val="22"/>
          <w:u w:val="single" w:color="auto"/>
          <w:color w:val="auto"/>
        </w:rPr>
        <w:t>Section 9.01(a)</w:t>
      </w:r>
      <w:r>
        <w:rPr>
          <w:rFonts w:ascii="Times New Roman" w:cs="Times New Roman" w:eastAsia="Times New Roman" w:hAnsi="Times New Roman"/>
          <w:sz w:val="22"/>
          <w:szCs w:val="22"/>
          <w:color w:val="auto"/>
        </w:rPr>
        <w:t xml:space="preserve"> (whether or not the financial covenants contained therein are then in effect);</w:t>
      </w:r>
    </w:p>
    <w:p>
      <w:pPr>
        <w:spacing w:after="0" w:line="153" w:lineRule="exact"/>
        <w:rPr>
          <w:rFonts w:ascii="Times New Roman" w:cs="Times New Roman" w:eastAsia="Times New Roman" w:hAnsi="Times New Roman"/>
          <w:sz w:val="22"/>
          <w:szCs w:val="22"/>
          <w:color w:val="auto"/>
        </w:rPr>
      </w:pPr>
    </w:p>
    <w:p>
      <w:pPr>
        <w:ind w:left="3000" w:hanging="751"/>
        <w:spacing w:after="0"/>
        <w:tabs>
          <w:tab w:leader="none" w:pos="30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Relevant Parties have Liquidity of not less than 15% of the total</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Commitments;</w:t>
      </w:r>
    </w:p>
    <w:p>
      <w:pPr>
        <w:spacing w:after="0" w:line="182" w:lineRule="exact"/>
        <w:rPr>
          <w:rFonts w:ascii="Times New Roman" w:cs="Times New Roman" w:eastAsia="Times New Roman" w:hAnsi="Times New Roman"/>
          <w:sz w:val="22"/>
          <w:szCs w:val="22"/>
          <w:color w:val="auto"/>
        </w:rPr>
      </w:pPr>
    </w:p>
    <w:p>
      <w:pPr>
        <w:ind w:left="3000" w:hanging="751"/>
        <w:spacing w:after="0"/>
        <w:tabs>
          <w:tab w:leader="none" w:pos="30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provides the Administrative Agent 10 days’ prior</w:t>
      </w:r>
    </w:p>
    <w:p>
      <w:pPr>
        <w:spacing w:after="0" w:line="14" w:lineRule="exact"/>
        <w:rPr>
          <w:sz w:val="20"/>
          <w:szCs w:val="20"/>
          <w:color w:val="auto"/>
        </w:rPr>
      </w:pPr>
    </w:p>
    <w:p>
      <w:pPr>
        <w:jc w:val="both"/>
        <w:ind w:right="399"/>
        <w:spacing w:after="0" w:line="234" w:lineRule="auto"/>
        <w:rPr>
          <w:sz w:val="20"/>
          <w:szCs w:val="20"/>
          <w:color w:val="auto"/>
        </w:rPr>
      </w:pPr>
      <w:r>
        <w:rPr>
          <w:rFonts w:ascii="Times New Roman" w:cs="Times New Roman" w:eastAsia="Times New Roman" w:hAnsi="Times New Roman"/>
          <w:sz w:val="22"/>
          <w:szCs w:val="22"/>
          <w:color w:val="auto"/>
        </w:rPr>
        <w:t>notice of such purchase or acquisition (or such later notice as is acceptable to the Administrative Agent in its sole discretion), together with a description of the Persons and Midstream Properties to be acquired, as the case may be, and financial statements and projections with respect to such Persons and Midstream Properties in form and substance reasonably acceptable to the Administrative Agent;</w:t>
      </w:r>
    </w:p>
    <w:p>
      <w:pPr>
        <w:spacing w:after="0" w:line="177" w:lineRule="exact"/>
        <w:rPr>
          <w:sz w:val="20"/>
          <w:szCs w:val="20"/>
          <w:color w:val="auto"/>
        </w:rPr>
      </w:pPr>
    </w:p>
    <w:p>
      <w:pPr>
        <w:jc w:val="both"/>
        <w:ind w:right="399" w:firstLine="2249"/>
        <w:spacing w:after="0" w:line="244" w:lineRule="auto"/>
        <w:tabs>
          <w:tab w:leader="none" w:pos="262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Person is the to be acquired such Person shall become a Restricted Subsidiary or if Midstream Properties are to be acquired, such Midstream Properties must be acquired by a Loan Party; and</w:t>
      </w:r>
    </w:p>
    <w:p>
      <w:pPr>
        <w:spacing w:after="0" w:line="173" w:lineRule="exact"/>
        <w:rPr>
          <w:sz w:val="20"/>
          <w:szCs w:val="20"/>
          <w:color w:val="auto"/>
        </w:rPr>
      </w:pPr>
    </w:p>
    <w:p>
      <w:pPr>
        <w:jc w:val="both"/>
        <w:ind w:right="399" w:firstLine="2246"/>
        <w:spacing w:after="0" w:line="258" w:lineRule="auto"/>
        <w:rPr>
          <w:sz w:val="20"/>
          <w:szCs w:val="20"/>
          <w:color w:val="auto"/>
        </w:rPr>
      </w:pPr>
      <w:r>
        <w:rPr>
          <w:rFonts w:ascii="Times New Roman" w:cs="Times New Roman" w:eastAsia="Times New Roman" w:hAnsi="Times New Roman"/>
          <w:sz w:val="22"/>
          <w:szCs w:val="22"/>
          <w:color w:val="auto"/>
        </w:rPr>
        <w:t xml:space="preserve">(vii)the Loan Party making such purchase or acquisition promptly complies with its obligations under </w:t>
      </w:r>
      <w:r>
        <w:rPr>
          <w:rFonts w:ascii="Times New Roman" w:cs="Times New Roman" w:eastAsia="Times New Roman" w:hAnsi="Times New Roman"/>
          <w:sz w:val="22"/>
          <w:szCs w:val="22"/>
          <w:u w:val="single" w:color="auto"/>
          <w:color w:val="auto"/>
        </w:rPr>
        <w:t>Sections 8.12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8.14</w:t>
      </w:r>
      <w:r>
        <w:rPr>
          <w:rFonts w:ascii="Times New Roman" w:cs="Times New Roman" w:eastAsia="Times New Roman" w:hAnsi="Times New Roman"/>
          <w:sz w:val="22"/>
          <w:szCs w:val="22"/>
          <w:color w:val="auto"/>
        </w:rPr>
        <w:t xml:space="preserve"> with respect to such acquisition, as applicable;</w:t>
      </w:r>
    </w:p>
    <w:p>
      <w:pPr>
        <w:spacing w:after="0" w:line="158"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 xml:space="preserve">(k)to the extent constituting Investments not otherwise permitted under this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the purchase or acquisition in Rights of Way and the purchase of equipment and other Property in the ordinary course of business;</w:t>
      </w:r>
    </w:p>
    <w:p>
      <w:pPr>
        <w:spacing w:after="0" w:line="173" w:lineRule="exact"/>
        <w:rPr>
          <w:sz w:val="20"/>
          <w:szCs w:val="20"/>
          <w:color w:val="auto"/>
        </w:rPr>
      </w:pPr>
    </w:p>
    <w:p>
      <w:pPr>
        <w:ind w:left="2240" w:hanging="740"/>
        <w:spacing w:after="0"/>
        <w:tabs>
          <w:tab w:leader="none" w:pos="22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Hedging Agreements permitted under </w:t>
      </w:r>
      <w:r>
        <w:rPr>
          <w:rFonts w:ascii="Times New Roman" w:cs="Times New Roman" w:eastAsia="Times New Roman" w:hAnsi="Times New Roman"/>
          <w:sz w:val="22"/>
          <w:szCs w:val="22"/>
          <w:u w:val="single" w:color="auto"/>
          <w:color w:val="auto"/>
        </w:rPr>
        <w:t>Section 9.17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(m)at any time after the Initial Period, Investments (other than Guarantees) in an aggregate amount not to exceed Available Cash so long as immediately before and after giving effect to any such Investment, each of the following conditions is satisfied:</w:t>
      </w:r>
    </w:p>
    <w:p>
      <w:pPr>
        <w:spacing w:after="0" w:line="173" w:lineRule="exact"/>
        <w:rPr>
          <w:sz w:val="20"/>
          <w:szCs w:val="20"/>
          <w:color w:val="auto"/>
        </w:rPr>
      </w:pPr>
    </w:p>
    <w:p>
      <w:pPr>
        <w:ind w:left="3000" w:hanging="751"/>
        <w:spacing w:after="0"/>
        <w:tabs>
          <w:tab w:leader="none" w:pos="30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exists or would result therefrom;</w:t>
      </w:r>
    </w:p>
    <w:p>
      <w:pPr>
        <w:spacing w:after="0" w:line="206" w:lineRule="exact"/>
        <w:rPr>
          <w:rFonts w:ascii="Times New Roman" w:cs="Times New Roman" w:eastAsia="Times New Roman" w:hAnsi="Times New Roman"/>
          <w:sz w:val="22"/>
          <w:szCs w:val="22"/>
          <w:color w:val="auto"/>
        </w:rPr>
      </w:pPr>
    </w:p>
    <w:p>
      <w:pPr>
        <w:ind w:left="2860" w:hanging="611"/>
        <w:spacing w:after="0"/>
        <w:tabs>
          <w:tab w:leader="none" w:pos="28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Net Leverage Ratio shall not exceed 4.00 to 1.00 on a</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pro forma basis; and</w:t>
      </w:r>
    </w:p>
    <w:p>
      <w:pPr>
        <w:spacing w:after="0" w:line="206" w:lineRule="exact"/>
        <w:rPr>
          <w:sz w:val="20"/>
          <w:szCs w:val="20"/>
          <w:color w:val="auto"/>
        </w:rPr>
      </w:pPr>
    </w:p>
    <w:p>
      <w:pPr>
        <w:ind w:left="3000" w:hanging="751"/>
        <w:spacing w:after="0"/>
        <w:tabs>
          <w:tab w:leader="none" w:pos="30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Liquidity is not less than 15% of the total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Commitments;</w:t>
      </w:r>
    </w:p>
    <w:p>
      <w:pPr>
        <w:ind w:left="5100"/>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50" w:name="page151"/>
    <w:bookmarkEnd w:id="150"/>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(n)so long as no Event of Default has occurred and is continuing, other Investments (other than Guarantees) made by the Borrower or any other Relevant Party not to exceed $5,000,000 in the aggregate at any time outstanding;</w:t>
      </w:r>
    </w:p>
    <w:p>
      <w:pPr>
        <w:spacing w:after="0" w:line="169" w:lineRule="exact"/>
        <w:rPr>
          <w:sz w:val="20"/>
          <w:szCs w:val="20"/>
          <w:color w:val="auto"/>
        </w:rPr>
      </w:pPr>
    </w:p>
    <w:p>
      <w:pPr>
        <w:jc w:val="both"/>
        <w:ind w:right="39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(i) that any Investment that when made complies with the requirements of the definition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 “</w:t>
      </w:r>
      <w:r>
        <w:rPr>
          <w:rFonts w:ascii="Times New Roman" w:cs="Times New Roman" w:eastAsia="Times New Roman" w:hAnsi="Times New Roman"/>
          <w:sz w:val="22"/>
          <w:szCs w:val="22"/>
          <w:u w:val="single" w:color="auto"/>
          <w:color w:val="auto"/>
        </w:rPr>
        <w:t>Cash Equivalent</w:t>
      </w:r>
      <w:r>
        <w:rPr>
          <w:rFonts w:ascii="Times New Roman" w:cs="Times New Roman" w:eastAsia="Times New Roman" w:hAnsi="Times New Roman"/>
          <w:sz w:val="22"/>
          <w:szCs w:val="22"/>
          <w:color w:val="auto"/>
        </w:rPr>
        <w:t xml:space="preserve">” may continue to be held notwithstanding that such Investment if made thereafter would not comply with such requirements; (ii) notwithstanding anything in this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xml:space="preserve"> or elsewhere in this Agreement to the contrary, no Investment shall be permitted in any Unrestricted Subsidiary, unless, such Investment does not include the Disposition of any Collateral (other than cash or Cash Equivalents) and (iii) Investment in the Borrower (or any direct or indirect parent thereof) through redemptions, purchases, acquisitions or other retirements of Equity Interests in the Borrower (or any direct or indirect parent thereof) shall only be permitted to the extent constituting a Restricted Payment permitted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9.04</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 xml:space="preserve">Section 9.06 </w:t>
      </w:r>
      <w:r>
        <w:rPr>
          <w:rFonts w:ascii="Times New Roman" w:cs="Times New Roman" w:eastAsia="Times New Roman" w:hAnsi="Times New Roman"/>
          <w:sz w:val="22"/>
          <w:szCs w:val="22"/>
          <w:u w:val="single" w:color="auto"/>
          <w:color w:val="auto"/>
        </w:rPr>
        <w:t>Nature of Business; International Operations; Limitations Regarding Outbound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Investment Rules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(a)The Borrower will not permit any other Relevant Party or Subsidiary to engage (directly or indirectly) in any line of business other than acting as midstream companies primarily engaged in gathering, treating, storing, compressing, transporting, fractionating, processing, treating, blending and selling Hydrocarbons (and related substances) and the products thereof and other midstream businesses reasonably related thereto. From and after the date hereof, the Relevant Parties will not acquire or make any other expenditure (whether such expenditure is capital, operating or otherwise) to purchase or lease, or acquire Deeds or Rights of Way in, any real Property not located within the geographical boundaries of the United States.</w:t>
      </w:r>
    </w:p>
    <w:p>
      <w:pPr>
        <w:spacing w:after="0" w:line="178"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(b)The Borrower shall at all times remain organized under the laws of the United States or any state thereof or the District of Columbia, and shall cause each other Subsidiary (whether existing as of the date of this Agreement or acquired or formed after the date of this Agreement) to remain a Domestic Subsidiary.</w:t>
      </w:r>
    </w:p>
    <w:p>
      <w:pPr>
        <w:spacing w:after="0" w:line="180" w:lineRule="exact"/>
        <w:rPr>
          <w:sz w:val="20"/>
          <w:szCs w:val="20"/>
          <w:color w:val="auto"/>
        </w:rPr>
      </w:pPr>
    </w:p>
    <w:p>
      <w:pPr>
        <w:jc w:val="both"/>
        <w:ind w:right="399" w:firstLine="1498"/>
        <w:spacing w:after="0" w:line="253" w:lineRule="auto"/>
        <w:rPr>
          <w:sz w:val="20"/>
          <w:szCs w:val="20"/>
          <w:color w:val="auto"/>
        </w:rPr>
      </w:pPr>
      <w:r>
        <w:rPr>
          <w:rFonts w:ascii="Times New Roman" w:cs="Times New Roman" w:eastAsia="Times New Roman" w:hAnsi="Times New Roman"/>
          <w:sz w:val="21"/>
          <w:szCs w:val="21"/>
          <w:color w:val="auto"/>
        </w:rPr>
        <w:t>(c)Neither the Borrower nor any Relevant Party shall (i) be or become a “covered foreign person”, as that term is defined in the Outbound Investment Rules, or (ii) engage, directly or indirectly, in</w:t>
      </w:r>
    </w:p>
    <w:p>
      <w:pPr>
        <w:spacing w:after="0" w:line="1" w:lineRule="exact"/>
        <w:rPr>
          <w:sz w:val="20"/>
          <w:szCs w:val="20"/>
          <w:color w:val="auto"/>
        </w:rPr>
      </w:pPr>
    </w:p>
    <w:p>
      <w:pPr>
        <w:jc w:val="both"/>
        <w:ind w:right="399" w:firstLine="2"/>
        <w:spacing w:after="0" w:line="232" w:lineRule="auto"/>
        <w:tabs>
          <w:tab w:leader="none" w:pos="41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activity” or a “covered transaction”, as each such term is defined in the Outbound Investment Rules, (B) any activity or transaction that would constitute a “covered activity” or a “covered transaction”, as each such term is defined in the Outbound Investment Rules, if the Borrower were a United States Person or (C)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83" w:lineRule="exact"/>
        <w:rPr>
          <w:sz w:val="20"/>
          <w:szCs w:val="20"/>
          <w:color w:val="auto"/>
        </w:rPr>
      </w:pPr>
    </w:p>
    <w:p>
      <w:pPr>
        <w:jc w:val="both"/>
        <w:ind w:right="399" w:firstLine="747"/>
        <w:spacing w:after="0" w:line="247" w:lineRule="auto"/>
        <w:rPr>
          <w:sz w:val="20"/>
          <w:szCs w:val="20"/>
          <w:color w:val="auto"/>
        </w:rPr>
      </w:pPr>
      <w:r>
        <w:rPr>
          <w:rFonts w:ascii="Times New Roman" w:cs="Times New Roman" w:eastAsia="Times New Roman" w:hAnsi="Times New Roman"/>
          <w:sz w:val="21"/>
          <w:szCs w:val="21"/>
          <w:color w:val="auto"/>
        </w:rPr>
        <w:t xml:space="preserve">Section 9.07 </w:t>
      </w:r>
      <w:r>
        <w:rPr>
          <w:rFonts w:ascii="Times New Roman" w:cs="Times New Roman" w:eastAsia="Times New Roman" w:hAnsi="Times New Roman"/>
          <w:sz w:val="21"/>
          <w:szCs w:val="21"/>
          <w:u w:val="single" w:color="auto"/>
          <w:color w:val="auto"/>
        </w:rPr>
        <w:t>Proceeds of Loans</w:t>
      </w:r>
      <w:r>
        <w:rPr>
          <w:rFonts w:ascii="Times New Roman" w:cs="Times New Roman" w:eastAsia="Times New Roman" w:hAnsi="Times New Roman"/>
          <w:sz w:val="21"/>
          <w:szCs w:val="21"/>
          <w:color w:val="auto"/>
        </w:rPr>
        <w:t xml:space="preserve">. The Borrower will not permit the proceeds of the Loans to be used for any purpose other than those permitted by </w:t>
      </w:r>
      <w:r>
        <w:rPr>
          <w:rFonts w:ascii="Times New Roman" w:cs="Times New Roman" w:eastAsia="Times New Roman" w:hAnsi="Times New Roman"/>
          <w:sz w:val="21"/>
          <w:szCs w:val="21"/>
          <w:u w:val="single" w:color="auto"/>
          <w:color w:val="auto"/>
        </w:rPr>
        <w:t>Section 7.20</w:t>
      </w:r>
      <w:r>
        <w:rPr>
          <w:rFonts w:ascii="Times New Roman" w:cs="Times New Roman" w:eastAsia="Times New Roman" w:hAnsi="Times New Roman"/>
          <w:sz w:val="21"/>
          <w:szCs w:val="21"/>
          <w:color w:val="auto"/>
        </w:rPr>
        <w:t>. Neither the Borrower nor any other Loan Party or any Person acting on behalf of the Borrower or any other Loan Party will take any action that might cause any of the Loan Documents to violate (a) Regulations T, U or X or any other regulation of the Board,</w:t>
      </w:r>
    </w:p>
    <w:p>
      <w:pPr>
        <w:spacing w:after="0" w:line="2" w:lineRule="exact"/>
        <w:rPr>
          <w:sz w:val="20"/>
          <w:szCs w:val="20"/>
          <w:color w:val="auto"/>
        </w:rPr>
      </w:pPr>
    </w:p>
    <w:p>
      <w:pPr>
        <w:ind w:right="399" w:firstLine="2"/>
        <w:spacing w:after="0" w:line="231" w:lineRule="auto"/>
        <w:tabs>
          <w:tab w:leader="none" w:pos="32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 of the Securities Exchange Act, (c) Sanctions, or (d) Anti-Corruption Laws, in each case as now in effect or as the same may hereinafter be in</w:t>
      </w:r>
    </w:p>
    <w:p>
      <w:pPr>
        <w:spacing w:after="0" w:line="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51" w:name="page152"/>
    <w:bookmarkEnd w:id="151"/>
    <w:p>
      <w:pPr>
        <w:jc w:val="both"/>
        <w:ind w:right="399"/>
        <w:spacing w:after="0" w:line="239" w:lineRule="auto"/>
        <w:rPr>
          <w:sz w:val="20"/>
          <w:szCs w:val="20"/>
          <w:color w:val="auto"/>
        </w:rPr>
      </w:pPr>
      <w:r>
        <w:rPr>
          <w:rFonts w:ascii="Times New Roman" w:cs="Times New Roman" w:eastAsia="Times New Roman" w:hAnsi="Times New Roman"/>
          <w:sz w:val="22"/>
          <w:szCs w:val="22"/>
          <w:color w:val="auto"/>
        </w:rPr>
        <w:t>effect. If requested by the Administrative Agent, the Borrower or the applicable Loan Parties will furnish to the Administrative Agent and each Lender a statement to the foregoing effect in conformity with the requirements of FR Form U-1 or such other form referred to in Regulation U, Regulation T or Regulation X of the Board, as the case may be.</w:t>
      </w:r>
    </w:p>
    <w:p>
      <w:pPr>
        <w:spacing w:after="0" w:line="180" w:lineRule="exact"/>
        <w:rPr>
          <w:sz w:val="20"/>
          <w:szCs w:val="20"/>
          <w:color w:val="auto"/>
        </w:rPr>
      </w:pPr>
    </w:p>
    <w:p>
      <w:pPr>
        <w:ind w:right="499" w:firstLine="747"/>
        <w:spacing w:after="0" w:line="258" w:lineRule="auto"/>
        <w:rPr>
          <w:sz w:val="20"/>
          <w:szCs w:val="20"/>
          <w:color w:val="auto"/>
        </w:rPr>
      </w:pPr>
      <w:r>
        <w:rPr>
          <w:rFonts w:ascii="Times New Roman" w:cs="Times New Roman" w:eastAsia="Times New Roman" w:hAnsi="Times New Roman"/>
          <w:sz w:val="22"/>
          <w:szCs w:val="22"/>
          <w:color w:val="auto"/>
        </w:rPr>
        <w:t xml:space="preserve">Section 9.08 </w:t>
      </w:r>
      <w:r>
        <w:rPr>
          <w:rFonts w:ascii="Times New Roman" w:cs="Times New Roman" w:eastAsia="Times New Roman" w:hAnsi="Times New Roman"/>
          <w:sz w:val="22"/>
          <w:szCs w:val="22"/>
          <w:u w:val="single" w:color="auto"/>
          <w:color w:val="auto"/>
        </w:rPr>
        <w:t>ERISA Compliance</w:t>
      </w:r>
      <w:r>
        <w:rPr>
          <w:rFonts w:ascii="Times New Roman" w:cs="Times New Roman" w:eastAsia="Times New Roman" w:hAnsi="Times New Roman"/>
          <w:sz w:val="22"/>
          <w:szCs w:val="22"/>
          <w:color w:val="auto"/>
        </w:rPr>
        <w:t>. The Borrower will not, and will not permit any other Relevant Party to, at any time:</w:t>
      </w:r>
    </w:p>
    <w:p>
      <w:pPr>
        <w:spacing w:after="0" w:line="158"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(a)engage in, or permit any ERISA Affiliate to engage in, any transaction in connection with which such Loan Party or any ERISA Affiliate could be subjected to either a civil penalty assessed pursuant to subsections (c), (i) or (l) of section 502 of ERISA or a tax imposed by Chapter 43 of Subtitle D of the Code;</w:t>
      </w:r>
    </w:p>
    <w:p>
      <w:pPr>
        <w:spacing w:after="0" w:line="180"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(b)terminate, or permit any ERISA Affiliate to terminate, any Plan in a manner, or take any other action with respect to any Plan, which could result in any liability of such Loan Party or any ERISA Affiliate to the PBGC;</w:t>
      </w:r>
    </w:p>
    <w:p>
      <w:pPr>
        <w:spacing w:after="0" w:line="173"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(c)fail to make, or permit any ERISA Affiliate to fail to make, full payment when due of all amounts which, under the provisions of any Plan, agreement relating thereto or applicable law, such Loan Party or any ERISA Affiliate is required to pay as contributions thereto;</w:t>
      </w:r>
    </w:p>
    <w:p>
      <w:pPr>
        <w:spacing w:after="0" w:line="173"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(d)permit, or allow any ERISA Affiliate to permit, the funding target attainment percentage (as defined in Section 430(d)(2) of the Code) for any Plan to fall below 80%;</w:t>
      </w:r>
    </w:p>
    <w:p>
      <w:pPr>
        <w:spacing w:after="0" w:line="158"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(e)contribute to or assume an obligation to contribute to, or permit any ERISA Affiliate to contribute to or assume an obligation to contribute to, any Multiemployer Plan;</w:t>
      </w:r>
    </w:p>
    <w:p>
      <w:pPr>
        <w:spacing w:after="0" w:line="158" w:lineRule="exact"/>
        <w:rPr>
          <w:sz w:val="20"/>
          <w:szCs w:val="20"/>
          <w:color w:val="auto"/>
        </w:rPr>
      </w:pPr>
    </w:p>
    <w:p>
      <w:pPr>
        <w:jc w:val="both"/>
        <w:ind w:right="399" w:firstLine="1498"/>
        <w:spacing w:after="0" w:line="245" w:lineRule="auto"/>
        <w:rPr>
          <w:sz w:val="20"/>
          <w:szCs w:val="20"/>
          <w:color w:val="auto"/>
        </w:rPr>
      </w:pPr>
      <w:r>
        <w:rPr>
          <w:rFonts w:ascii="Times New Roman" w:cs="Times New Roman" w:eastAsia="Times New Roman" w:hAnsi="Times New Roman"/>
          <w:sz w:val="21"/>
          <w:szCs w:val="21"/>
          <w:color w:val="auto"/>
        </w:rPr>
        <w:t>(f)acquire, or permit any ERISA Affiliate to acquire, an interest in any Person that causes such Person to become an ERISA Affiliate with respect to such Loan Party or with respect to any ERISA Affiliate of the such Loan Party if such Person sponsors, maintains or contributes to, or at any time in the six-year period preceding such acquisition has sponsored, maintained, or contributed to, (1) any Multiemployer Plan, or (2) any other Plan that is subject to Title IV of ERISA under which the actuarial present value of the benefit liabilities (based on assumptions used for purposes of FASB ASC Topic No.</w:t>
      </w:r>
    </w:p>
    <w:p>
      <w:pPr>
        <w:spacing w:after="0" w:line="3" w:lineRule="exact"/>
        <w:rPr>
          <w:sz w:val="20"/>
          <w:szCs w:val="20"/>
          <w:color w:val="auto"/>
        </w:rPr>
      </w:pPr>
    </w:p>
    <w:p>
      <w:pPr>
        <w:jc w:val="both"/>
        <w:ind w:right="399" w:firstLine="2"/>
        <w:spacing w:after="0" w:line="235" w:lineRule="auto"/>
        <w:tabs>
          <w:tab w:leader="none" w:pos="485"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such Plan exceeds the current value of the assets (computed on a plan termination basis in accordance with Title IV of ERISA) of such Plan allocable to such benefit liabilities, except as would not have a Material Adverse Effect;</w:t>
      </w:r>
    </w:p>
    <w:p>
      <w:pPr>
        <w:spacing w:after="0" w:line="178"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(g)incur, or permit any ERISA Affiliate to incur, a liability to or on account of a Plan under sections 515, 4062, 4063, 4064, 4201 or 4204 of ERISA;</w:t>
      </w:r>
    </w:p>
    <w:p>
      <w:pPr>
        <w:spacing w:after="0" w:line="158"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(h)contribute to or assume an obligation to contribute to, or permit any ERISA Affiliate to contribute to or assume an obligation to contribute to, any employee welfare benefit plan, as defined in section 3(1) of ERISA, including, without limitation, any such plan maintained to provide benefits to former employees of such entities, that may not be terminated by such entities in their sole discretion at any time without any material liability; or</w:t>
      </w:r>
    </w:p>
    <w:p>
      <w:pPr>
        <w:spacing w:after="0" w:line="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1" w:right="1440" w:bottom="1440" w:gutter="0" w:footer="0" w:header="0"/>
        </w:sectPr>
      </w:pPr>
    </w:p>
    <w:bookmarkStart w:id="152" w:name="page153"/>
    <w:bookmarkEnd w:id="152"/>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(i)amend, or permit any ERISA Affiliate to amend, a Plan resulting in an increase in current liability such that such Loan Party or any ERISA Affiliate is required to provide security to such Plan under section 436(f) of the Code.</w:t>
      </w:r>
    </w:p>
    <w:p>
      <w:pPr>
        <w:spacing w:after="0" w:line="173"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 xml:space="preserve">Section 9.09 </w:t>
      </w:r>
      <w:r>
        <w:rPr>
          <w:rFonts w:ascii="Times New Roman" w:cs="Times New Roman" w:eastAsia="Times New Roman" w:hAnsi="Times New Roman"/>
          <w:sz w:val="22"/>
          <w:szCs w:val="22"/>
          <w:u w:val="single" w:color="auto"/>
          <w:color w:val="auto"/>
        </w:rPr>
        <w:t>Sale or Discount of Receivables</w:t>
      </w:r>
      <w:r>
        <w:rPr>
          <w:rFonts w:ascii="Times New Roman" w:cs="Times New Roman" w:eastAsia="Times New Roman" w:hAnsi="Times New Roman"/>
          <w:sz w:val="22"/>
          <w:szCs w:val="22"/>
          <w:color w:val="auto"/>
        </w:rPr>
        <w:t>. Except for receivables obtained by the Borrower or any other Relevant Party out of the ordinary course of business or the settlement of joint interest billing accounts in the ordinary course of business or discounts granted to settle collection of accounts receivable or the sale of defaulted accounts receivable in connection with the compromise or collection thereof and not in connection with any financing transaction, the Borrower will not, and will not permit any other Relevant Party to, discount or sell (with or without recourse) any of its notes receivable or accounts receivable to any Person other than a Relevant Party.</w:t>
      </w:r>
    </w:p>
    <w:p>
      <w:pPr>
        <w:spacing w:after="0" w:line="183"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Mergers, Etc</w:t>
      </w:r>
      <w:r>
        <w:rPr>
          <w:rFonts w:ascii="Times New Roman" w:cs="Times New Roman" w:eastAsia="Times New Roman" w:hAnsi="Times New Roman"/>
          <w:sz w:val="22"/>
          <w:szCs w:val="22"/>
          <w:color w:val="auto"/>
        </w:rPr>
        <w:t>. The Borrower will not, and will not permit any Restricted Subsidiary to, merge into or with or consolidate with any other Person, or permit any other Person to merge into or consolidate with it, or sell, transfer, lease or otherwise dispose of (whether in one transaction or in a series of transactions) all or substantially all of its Property to any other Person (whether now owned or hereafter acquired) (any such transaction, excluding any Division, a “</w:t>
      </w:r>
      <w:r>
        <w:rPr>
          <w:rFonts w:ascii="Times New Roman" w:cs="Times New Roman" w:eastAsia="Times New Roman" w:hAnsi="Times New Roman"/>
          <w:sz w:val="22"/>
          <w:szCs w:val="22"/>
          <w:u w:val="single" w:color="auto"/>
          <w:color w:val="auto"/>
        </w:rPr>
        <w:t>consolidation</w:t>
      </w:r>
      <w:r>
        <w:rPr>
          <w:rFonts w:ascii="Times New Roman" w:cs="Times New Roman" w:eastAsia="Times New Roman" w:hAnsi="Times New Roman"/>
          <w:sz w:val="22"/>
          <w:szCs w:val="22"/>
          <w:color w:val="auto"/>
        </w:rPr>
        <w:t xml:space="preserve">”), divide, enter into any plan of Division, or be subjected to any Division, or liquidate or dissolve;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181"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(a)the Borrower or any other Relevant Party may participate in a consolidation with any other Person so long as (i) no Event of Default is continuing, (ii) any such consolidation would not cause a Default hereunder, (iii) if the Borrower consolidates with any Person, the Borrower shall be the surviving Person, and (iv) if any other Relevant Party consolidates with any Person (other than the Borrower or another Relevant Party) and such Relevant Party is not the surviving Person, such surviving Person shall be a Wholly-Owned Subsidiary and shall expressly assume in writing (in form and substance satisfactory to the Administrative Agent) all obligations of such Loan Party under the Loan Documents;</w:t>
      </w:r>
    </w:p>
    <w:p>
      <w:pPr>
        <w:spacing w:after="0" w:line="183" w:lineRule="exact"/>
        <w:rPr>
          <w:sz w:val="20"/>
          <w:szCs w:val="20"/>
          <w:color w:val="auto"/>
        </w:rPr>
      </w:pPr>
    </w:p>
    <w:p>
      <w:pPr>
        <w:ind w:left="2240" w:hanging="740"/>
        <w:spacing w:after="0"/>
        <w:tabs>
          <w:tab w:leader="none" w:pos="224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that is not a Loan Party may merge with</w:t>
      </w:r>
    </w:p>
    <w:p>
      <w:pPr>
        <w:spacing w:after="0" w:line="14" w:lineRule="exact"/>
        <w:rPr>
          <w:rFonts w:ascii="Times New Roman" w:cs="Times New Roman" w:eastAsia="Times New Roman" w:hAnsi="Times New Roman"/>
          <w:sz w:val="22"/>
          <w:szCs w:val="22"/>
          <w:color w:val="auto"/>
        </w:rPr>
      </w:pPr>
    </w:p>
    <w:p>
      <w:pPr>
        <w:ind w:right="739" w:firstLine="2"/>
        <w:spacing w:after="0" w:line="237" w:lineRule="auto"/>
        <w:tabs>
          <w:tab w:leader="none" w:pos="25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another Restricted Subsidiary that is not a Loan Party or (ii) any Loan Party, in each case so long as a Loan Party is the surviving Person;</w:t>
      </w:r>
    </w:p>
    <w:p>
      <w:pPr>
        <w:spacing w:after="0" w:line="178"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 xml:space="preserve">(c)a Subsidiary may wind-up, dissolve, liquidate or sell or transfer its Property if (i) all of its Property is transferred to the Borrower or another Loan Party and (ii) the Loan Party acquiring such Property promptly complies with its applicable obligations under </w:t>
      </w:r>
      <w:r>
        <w:rPr>
          <w:rFonts w:ascii="Times New Roman" w:cs="Times New Roman" w:eastAsia="Times New Roman" w:hAnsi="Times New Roman"/>
          <w:sz w:val="22"/>
          <w:szCs w:val="22"/>
          <w:u w:val="single" w:color="auto"/>
          <w:color w:val="auto"/>
        </w:rPr>
        <w:t>Sections 8.12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8.14</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 xml:space="preserve">(d)any Subsidiary may sell, transfer, lease or otherwise dispose of (whether in one transaction or a series of transactions) all or substantially all of its Property to any other Person to the extent permitted by </w:t>
      </w:r>
      <w:r>
        <w:rPr>
          <w:rFonts w:ascii="Times New Roman" w:cs="Times New Roman" w:eastAsia="Times New Roman" w:hAnsi="Times New Roman"/>
          <w:sz w:val="22"/>
          <w:szCs w:val="22"/>
          <w:u w:val="single" w:color="auto"/>
          <w:color w:val="auto"/>
        </w:rPr>
        <w:t>Section 9.11(d)</w:t>
      </w:r>
      <w:r>
        <w:rPr>
          <w:rFonts w:ascii="Times New Roman" w:cs="Times New Roman" w:eastAsia="Times New Roman" w:hAnsi="Times New Roman"/>
          <w:sz w:val="22"/>
          <w:szCs w:val="22"/>
          <w:color w:val="auto"/>
        </w:rPr>
        <w:t>; and</w:t>
      </w:r>
    </w:p>
    <w:p>
      <w:pPr>
        <w:spacing w:after="0" w:line="173"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(e)any Relevant Party (other than the Borrower) may participate in a merger or consolidation with (i)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be the continuing or surviving Person) or (ii) any other Relevant Party and if one of such Relevant Parties is a Loan Party, then the surviving Person shall be a Loan Party;</w:t>
      </w:r>
    </w:p>
    <w:p>
      <w:pPr>
        <w:spacing w:after="0" w:line="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53" w:name="page154"/>
    <w:bookmarkEnd w:id="153"/>
    <w:p>
      <w:pPr>
        <w:ind w:right="89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any such merger involving a Person that is not a Wholly-Owned Subsidiary immediately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prior to such merger shall not be permitted unless also permitted by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Sale of Properties</w:t>
      </w:r>
      <w:r>
        <w:rPr>
          <w:rFonts w:ascii="Times New Roman" w:cs="Times New Roman" w:eastAsia="Times New Roman" w:hAnsi="Times New Roman"/>
          <w:sz w:val="22"/>
          <w:szCs w:val="22"/>
          <w:color w:val="auto"/>
        </w:rPr>
        <w:t>. The Borrower will not, and will not permit any Restricted Subsidiary to, Dispose of any of its Property, whether now owned or hereafter acquired, or issue or Dispose of any shares of any Restricted Subsidiary’s Equity Interests to any Person, except for:</w:t>
      </w:r>
    </w:p>
    <w:p>
      <w:pPr>
        <w:spacing w:after="0" w:line="173" w:lineRule="exact"/>
        <w:rPr>
          <w:sz w:val="20"/>
          <w:szCs w:val="20"/>
          <w:color w:val="auto"/>
        </w:rPr>
      </w:pPr>
    </w:p>
    <w:p>
      <w:pPr>
        <w:ind w:left="2240" w:hanging="740"/>
        <w:spacing w:after="0"/>
        <w:tabs>
          <w:tab w:leader="none" w:pos="22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inventory in the ordinary course of business;</w:t>
      </w:r>
    </w:p>
    <w:p>
      <w:pPr>
        <w:spacing w:after="0" w:line="206"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(b)the sale or transfer of obsolete or worn out equipment or other assets of the Borrower or such Restricted Subsidiary, or equipment that is no longer necessary in the conduct of the business of the Borrower or such Restricted Subsidiary or equipment or assets that are replaced by equipment or assets of at least comparable value and use;</w:t>
      </w:r>
    </w:p>
    <w:p>
      <w:pPr>
        <w:spacing w:after="0" w:line="180"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(c)the sale or other transfer of surplus Rights of Way that are no longer used or otherwise necessary in the business of the Loan Parties;</w:t>
      </w:r>
    </w:p>
    <w:p>
      <w:pPr>
        <w:spacing w:after="0" w:line="158" w:lineRule="exact"/>
        <w:rPr>
          <w:sz w:val="20"/>
          <w:szCs w:val="20"/>
          <w:color w:val="auto"/>
        </w:rPr>
      </w:pPr>
    </w:p>
    <w:p>
      <w:pPr>
        <w:ind w:left="2240" w:hanging="740"/>
        <w:spacing w:after="0"/>
        <w:tabs>
          <w:tab w:leader="none" w:pos="224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of Property to another Loan Party (subject to compliance 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2240" w:hanging="740"/>
        <w:spacing w:after="0"/>
        <w:tabs>
          <w:tab w:leader="none" w:pos="224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a transfer or other Disposition of Property, (i) uses</w:t>
      </w:r>
    </w:p>
    <w:p>
      <w:pPr>
        <w:spacing w:after="0" w:line="14" w:lineRule="exact"/>
        <w:rPr>
          <w:sz w:val="20"/>
          <w:szCs w:val="20"/>
          <w:color w:val="auto"/>
        </w:rPr>
      </w:pPr>
    </w:p>
    <w:p>
      <w:pPr>
        <w:jc w:val="both"/>
        <w:ind w:right="399"/>
        <w:spacing w:after="0" w:line="230" w:lineRule="auto"/>
        <w:rPr>
          <w:sz w:val="20"/>
          <w:szCs w:val="20"/>
          <w:color w:val="auto"/>
        </w:rPr>
      </w:pPr>
      <w:r>
        <w:rPr>
          <w:rFonts w:ascii="Times New Roman" w:cs="Times New Roman" w:eastAsia="Times New Roman" w:hAnsi="Times New Roman"/>
          <w:sz w:val="22"/>
          <w:szCs w:val="22"/>
          <w:color w:val="auto"/>
        </w:rPr>
        <w:t xml:space="preserve">of cash and Cash Equivalents in transactions not otherwise prohibited under this Agreement or any other Loan Document, (ii) any Casualty Event, (iii) the creation of Permitted Liens, (iv) Restricted Payments permitted by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(v) the making of Investments permitted by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xml:space="preserv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(vi) mergers, consolidations and transfers of assets permitted by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9.10(d)</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 xml:space="preserve">(f)Dispositions (excluding Divisions) not listed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(e) above, having, in the aggregate for all such Dispositions by the Relevant Parties, a fair market value not to exceed $15,000,000 during any fiscal year of the Borrower so long as (i) no Default or Event of Default has occurred and is continuing or would result therefrom, (ii) at least 75% of the consideration received in respect of such Disposition shall be cash or Cash Equivalents and</w:t>
      </w:r>
    </w:p>
    <w:p>
      <w:pPr>
        <w:jc w:val="both"/>
        <w:ind w:right="399" w:firstLine="2"/>
        <w:spacing w:after="0" w:line="234" w:lineRule="auto"/>
        <w:tabs>
          <w:tab w:leader="none" w:pos="41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consideration received in respect of such Disposition shall be equal to or greater than the fair market value of the Property subject to such Disposition (as reasonably determined by the Borrower and, if requested by the Administrative Agent, the Borrower shall deliver a certificate of a Responsible Officer of the Borrower certifying to that effect);</w:t>
      </w:r>
    </w:p>
    <w:p>
      <w:pPr>
        <w:spacing w:after="0" w:line="177"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 xml:space="preserve">(g)(i) Dispositions of accounts receivables in connection with transactions permitted under </w:t>
      </w:r>
      <w:r>
        <w:rPr>
          <w:rFonts w:ascii="Times New Roman" w:cs="Times New Roman" w:eastAsia="Times New Roman" w:hAnsi="Times New Roman"/>
          <w:sz w:val="22"/>
          <w:szCs w:val="22"/>
          <w:u w:val="single" w:color="auto"/>
          <w:color w:val="auto"/>
        </w:rPr>
        <w:t>Section 9.09</w:t>
      </w:r>
      <w:r>
        <w:rPr>
          <w:rFonts w:ascii="Times New Roman" w:cs="Times New Roman" w:eastAsia="Times New Roman" w:hAnsi="Times New Roman"/>
          <w:sz w:val="22"/>
          <w:szCs w:val="22"/>
          <w:color w:val="auto"/>
        </w:rPr>
        <w:t xml:space="preserve">, (ii) termination of leases in the ordinary course of business, (iii) the expiration of any option agreement in respect of real or personal Property, (iv) any surrender or waiver of contractual rights (subject to </w:t>
      </w:r>
      <w:r>
        <w:rPr>
          <w:rFonts w:ascii="Times New Roman" w:cs="Times New Roman" w:eastAsia="Times New Roman" w:hAnsi="Times New Roman"/>
          <w:sz w:val="22"/>
          <w:szCs w:val="22"/>
          <w:u w:val="single" w:color="auto"/>
          <w:color w:val="auto"/>
        </w:rPr>
        <w:t>Section 8.10</w:t>
      </w:r>
      <w:r>
        <w:rPr>
          <w:rFonts w:ascii="Times New Roman" w:cs="Times New Roman" w:eastAsia="Times New Roman" w:hAnsi="Times New Roman"/>
          <w:sz w:val="22"/>
          <w:szCs w:val="22"/>
          <w:color w:val="auto"/>
        </w:rPr>
        <w:t>) or the settlement, release or surrender of contractual rights or other litigation claims in the ordinary course of business, (v) the abandonment, cancellation or lapse of intellectual property rights that, in the reasonable good faith determination of the Borrower, are not material to the business and operations of the Borrower and its Subsidiaries and (vi) the termination or other Disposition of Hedging Agreements in the ordinary course of business;</w:t>
      </w:r>
    </w:p>
    <w:p>
      <w:pPr>
        <w:spacing w:after="0" w:line="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48" w:right="1440" w:bottom="1440" w:gutter="0" w:footer="0" w:header="0"/>
        </w:sectPr>
      </w:pPr>
    </w:p>
    <w:bookmarkStart w:id="154" w:name="page155"/>
    <w:bookmarkEnd w:id="154"/>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(h)grants of leases, subleases, licenses or sublicenses, easements, rights of way or similar rights or encumbrances, in each case, in the ordinary course of business and to the extent that the foregoing do not individually or in the aggregate, materially interfere with the business and operations of the Borrower and its Subsidiaries;</w:t>
      </w:r>
    </w:p>
    <w:p>
      <w:pPr>
        <w:spacing w:after="0" w:line="180"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(i)Dispositions of letters of credit or similar instruments to banks or other financial institutions in the ordinary course of business in exchange for cash and cash equivalents;</w:t>
      </w:r>
    </w:p>
    <w:p>
      <w:pPr>
        <w:spacing w:after="0" w:line="158" w:lineRule="exact"/>
        <w:rPr>
          <w:sz w:val="20"/>
          <w:szCs w:val="20"/>
          <w:color w:val="auto"/>
        </w:rPr>
      </w:pPr>
    </w:p>
    <w:p>
      <w:pPr>
        <w:ind w:right="1039" w:firstLine="1500"/>
        <w:spacing w:after="0" w:line="258" w:lineRule="auto"/>
        <w:tabs>
          <w:tab w:leader="none" w:pos="224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issuance of any Subsidiary’s Equity Interests to the Borrower or any Guarantor that is a Wholly-Owned Subsidiary;</w:t>
      </w:r>
    </w:p>
    <w:p>
      <w:pPr>
        <w:spacing w:after="0" w:line="158" w:lineRule="exact"/>
        <w:rPr>
          <w:rFonts w:ascii="Times New Roman" w:cs="Times New Roman" w:eastAsia="Times New Roman" w:hAnsi="Times New Roman"/>
          <w:sz w:val="22"/>
          <w:szCs w:val="22"/>
          <w:color w:val="auto"/>
        </w:rPr>
      </w:pPr>
    </w:p>
    <w:p>
      <w:pPr>
        <w:ind w:left="2240" w:hanging="740"/>
        <w:spacing w:after="0"/>
        <w:tabs>
          <w:tab w:leader="none" w:pos="22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sale and discount of receivables permitted by </w:t>
      </w:r>
      <w:r>
        <w:rPr>
          <w:rFonts w:ascii="Times New Roman" w:cs="Times New Roman" w:eastAsia="Times New Roman" w:hAnsi="Times New Roman"/>
          <w:sz w:val="22"/>
          <w:szCs w:val="22"/>
          <w:u w:val="single" w:color="auto"/>
          <w:color w:val="auto"/>
        </w:rPr>
        <w:t>Section 9.09</w:t>
      </w: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color w:val="auto"/>
        </w:rPr>
      </w:pPr>
    </w:p>
    <w:p>
      <w:pPr>
        <w:ind w:right="1479" w:firstLine="1500"/>
        <w:spacing w:after="0" w:line="244" w:lineRule="auto"/>
        <w:tabs>
          <w:tab w:leader="none" w:pos="224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Property to the Borrower or any other Relevant Party; provided that if the transferor of such property is a Loan Party, the transferee thereof must be a Loan Party.</w:t>
      </w:r>
    </w:p>
    <w:p>
      <w:pPr>
        <w:spacing w:after="0" w:line="173" w:lineRule="exact"/>
        <w:rPr>
          <w:sz w:val="20"/>
          <w:szCs w:val="20"/>
          <w:color w:val="auto"/>
        </w:rPr>
      </w:pPr>
    </w:p>
    <w:p>
      <w:pPr>
        <w:jc w:val="both"/>
        <w:ind w:right="399"/>
        <w:spacing w:after="0" w:line="238"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contained, (i) any Disposition constituting an Investment by the Borrower or a Guarantor in an Unrestricted Subsidiary or a non-Guarantor Restricted Subsidiary shall be subject to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xml:space="preserve"> and (ii) in the event of the Disposition of Equity Interests in any Restricted Subsidiary to any Person other than the Borrower or a Guarantor, the Disposition shall be of all such Equity Interests held by the Borrower and its Subsidiaries.</w:t>
      </w:r>
    </w:p>
    <w:p>
      <w:pPr>
        <w:spacing w:after="0" w:line="177"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The Borrower will not, and will not permit any other Loan Party or Subsidiary to, cause or permit any of their Property to be in violation of, or do anything or permit anything to be done that will subject any such Property to a Release or threatened Release of Hazardous Materials, exposure to any Hazardous Materials, or to any Remedial Work under any Environmental Laws, assuming disclosure to the applicable Governmental Authority of all relevant facts, conditions and circumstances, if any, pertaining to such Property, where such violations, Release or threatened Release, exposure or Remedial Work would reasonably be expected to have a Material Adverse Effect.</w:t>
      </w:r>
    </w:p>
    <w:p>
      <w:pPr>
        <w:spacing w:after="0" w:line="183"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 xml:space="preserve">Section 9.13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xml:space="preserve">. The Borrower will not, and will not permit any other Relevant Party to, sell, lease or otherwise transfer any property or assets to, or purchase, lease or otherwise acquire any property or assets from, or otherwise engage in any other transactions with, any of its Affiliates, except for (a) Restricted Payments permitted under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and Investments permitted under Section 9.05 (other than under </w:t>
      </w:r>
      <w:r>
        <w:rPr>
          <w:rFonts w:ascii="Times New Roman" w:cs="Times New Roman" w:eastAsia="Times New Roman" w:hAnsi="Times New Roman"/>
          <w:sz w:val="22"/>
          <w:szCs w:val="22"/>
          <w:u w:val="single" w:color="auto"/>
          <w:color w:val="auto"/>
        </w:rPr>
        <w:t>Sections 9.05(e)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w:t>
      </w:r>
    </w:p>
    <w:p>
      <w:pPr>
        <w:ind w:left="300" w:hanging="298"/>
        <w:spacing w:after="0" w:line="230" w:lineRule="auto"/>
        <w:tabs>
          <w:tab w:leader="none" w:pos="300" w:val="left"/>
        </w:tabs>
        <w:numPr>
          <w:ilvl w:val="0"/>
          <w:numId w:val="1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(b) transactions described on </w:t>
      </w:r>
      <w:r>
        <w:rPr>
          <w:rFonts w:ascii="Times New Roman" w:cs="Times New Roman" w:eastAsia="Times New Roman" w:hAnsi="Times New Roman"/>
          <w:sz w:val="22"/>
          <w:szCs w:val="22"/>
          <w:u w:val="single" w:color="auto"/>
          <w:color w:val="auto"/>
        </w:rPr>
        <w:t>Schedule 9.13</w:t>
      </w:r>
      <w:r>
        <w:rPr>
          <w:rFonts w:ascii="Times New Roman" w:cs="Times New Roman" w:eastAsia="Times New Roman" w:hAnsi="Times New Roman"/>
          <w:sz w:val="22"/>
          <w:szCs w:val="22"/>
          <w:color w:val="auto"/>
        </w:rPr>
        <w:t>, (c) the Pinnacle Redemption Agreement,</w:t>
      </w: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transactions between or among Loan Parties and not involving any other Affiliate,</w:t>
      </w:r>
    </w:p>
    <w:p>
      <w:pPr>
        <w:spacing w:after="0" w:line="1" w:lineRule="exact"/>
        <w:rPr>
          <w:sz w:val="20"/>
          <w:szCs w:val="20"/>
          <w:color w:val="auto"/>
        </w:rPr>
      </w:pPr>
    </w:p>
    <w:p>
      <w:pPr>
        <w:jc w:val="both"/>
        <w:ind w:right="399"/>
        <w:spacing w:after="0" w:line="233" w:lineRule="auto"/>
        <w:rPr>
          <w:sz w:val="20"/>
          <w:szCs w:val="20"/>
          <w:color w:val="auto"/>
        </w:rPr>
      </w:pPr>
      <w:r>
        <w:rPr>
          <w:rFonts w:ascii="Times New Roman" w:cs="Times New Roman" w:eastAsia="Times New Roman" w:hAnsi="Times New Roman"/>
          <w:sz w:val="22"/>
          <w:szCs w:val="22"/>
          <w:color w:val="auto"/>
        </w:rPr>
        <w:t>(e)transactions that are otherwise permitted under this Agreement and are upon fair and reasonable terms no less favorable to it than it would obtain in a comparable arm’s length transaction with a Person not an Affiliate and (f) reasonable compensation to, and the terms of employment contracts entered into in the ordinary course of business with, individuals who are officers, managers and directors of a direct or indirect parent company of the Borrower.</w:t>
      </w:r>
    </w:p>
    <w:p>
      <w:pPr>
        <w:spacing w:after="0" w:line="179"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xml:space="preserve">. The Borrower will not, and will not permit any other Relevant Party to, create or acquire any additional Subsidiary unless the Borrower gives prior written notice to the Administrative Agent of such creation or acquisition and complies with </w:t>
      </w:r>
      <w:r>
        <w:rPr>
          <w:rFonts w:ascii="Times New Roman" w:cs="Times New Roman" w:eastAsia="Times New Roman" w:hAnsi="Times New Roman"/>
          <w:sz w:val="22"/>
          <w:szCs w:val="22"/>
          <w:u w:val="single" w:color="auto"/>
          <w:color w:val="auto"/>
        </w:rPr>
        <w:t>Section 8.12</w:t>
      </w:r>
      <w:r>
        <w:rPr>
          <w:rFonts w:ascii="Times New Roman" w:cs="Times New Roman" w:eastAsia="Times New Roman" w:hAnsi="Times New Roman"/>
          <w:sz w:val="22"/>
          <w:szCs w:val="22"/>
          <w:color w:val="auto"/>
        </w:rPr>
        <w:t xml:space="preserve"> and</w:t>
      </w:r>
    </w:p>
    <w:p>
      <w:pPr>
        <w:spacing w:after="0" w:line="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55" w:name="page156"/>
    <w:bookmarkEnd w:id="155"/>
    <w:p>
      <w:pPr>
        <w:jc w:val="both"/>
        <w:ind w:right="399"/>
        <w:spacing w:after="0" w:line="241" w:lineRule="auto"/>
        <w:rPr>
          <w:sz w:val="20"/>
          <w:szCs w:val="20"/>
          <w:color w:val="auto"/>
        </w:rPr>
      </w:pP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xml:space="preserve">. The Borrower shall not, and shall not permit any other Relevant Party to, sell, assign or otherwise dispose of any Equity Interests in any Subsidiary except in compliance with </w:t>
      </w:r>
      <w:r>
        <w:rPr>
          <w:rFonts w:ascii="Times New Roman" w:cs="Times New Roman" w:eastAsia="Times New Roman" w:hAnsi="Times New Roman"/>
          <w:sz w:val="22"/>
          <w:szCs w:val="22"/>
          <w:u w:val="single" w:color="auto"/>
          <w:color w:val="auto"/>
        </w:rPr>
        <w:t>Section</w:t>
      </w:r>
    </w:p>
    <w:p>
      <w:pPr>
        <w:spacing w:after="0" w:line="2" w:lineRule="exact"/>
        <w:rPr>
          <w:sz w:val="20"/>
          <w:szCs w:val="20"/>
          <w:color w:val="auto"/>
        </w:rPr>
      </w:pPr>
    </w:p>
    <w:p>
      <w:pPr>
        <w:jc w:val="both"/>
        <w:ind w:right="399"/>
        <w:spacing w:after="0" w:line="235" w:lineRule="auto"/>
        <w:rPr>
          <w:sz w:val="20"/>
          <w:szCs w:val="20"/>
          <w:color w:val="auto"/>
        </w:rPr>
      </w:pPr>
      <w:r>
        <w:rPr>
          <w:rFonts w:ascii="Times New Roman" w:cs="Times New Roman" w:eastAsia="Times New Roman" w:hAnsi="Times New Roman"/>
          <w:sz w:val="22"/>
          <w:szCs w:val="22"/>
          <w:u w:val="single" w:color="auto"/>
          <w:color w:val="auto"/>
        </w:rPr>
        <w:t>9.10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Neither the Borrower nor any other Relevant Party shall have any Foreign Subsidiaries. Neither the Borrower nor any other Relevant Party shall have any Subsidiaries (other than Unrestricted Subsidiaries) that are not Wholly-Owned Subsidiaries.</w:t>
      </w:r>
    </w:p>
    <w:p>
      <w:pPr>
        <w:spacing w:after="0" w:line="178"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 xml:space="preserve">Section 9.15 </w:t>
      </w:r>
      <w:r>
        <w:rPr>
          <w:rFonts w:ascii="Times New Roman" w:cs="Times New Roman" w:eastAsia="Times New Roman" w:hAnsi="Times New Roman"/>
          <w:sz w:val="22"/>
          <w:szCs w:val="22"/>
          <w:u w:val="single" w:color="auto"/>
          <w:color w:val="auto"/>
        </w:rPr>
        <w:t>Limitation on Issuance of Equity Interests</w:t>
      </w:r>
      <w:r>
        <w:rPr>
          <w:rFonts w:ascii="Times New Roman" w:cs="Times New Roman" w:eastAsia="Times New Roman" w:hAnsi="Times New Roman"/>
          <w:sz w:val="22"/>
          <w:szCs w:val="22"/>
          <w:color w:val="auto"/>
        </w:rPr>
        <w:t xml:space="preserve">. The Borrower shall not permit any other Relevant Party to issue any Equity Interest (including by way of sales of treasury stock) or any options or warrants to purchase, or securities convertible into, any Equity Interest, except for Equity Interests issued to another Loan Party or Equity Interests issued as part of a merger or other transaction permitted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9.10</w:t>
      </w:r>
      <w:r>
        <w:rPr>
          <w:rFonts w:ascii="Times New Roman" w:cs="Times New Roman" w:eastAsia="Times New Roman" w:hAnsi="Times New Roman"/>
          <w:sz w:val="22"/>
          <w:szCs w:val="22"/>
          <w:color w:val="auto"/>
        </w:rPr>
        <w:t xml:space="preserve">. The Borrower and the other Loan Parties shall comply with </w:t>
      </w:r>
      <w:r>
        <w:rPr>
          <w:rFonts w:ascii="Times New Roman" w:cs="Times New Roman" w:eastAsia="Times New Roman" w:hAnsi="Times New Roman"/>
          <w:sz w:val="22"/>
          <w:szCs w:val="22"/>
          <w:u w:val="single" w:color="auto"/>
          <w:color w:val="auto"/>
        </w:rPr>
        <w:t>Section 8.12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and, if applicable, </w:t>
      </w:r>
      <w:r>
        <w:rPr>
          <w:rFonts w:ascii="Times New Roman" w:cs="Times New Roman" w:eastAsia="Times New Roman" w:hAnsi="Times New Roman"/>
          <w:sz w:val="22"/>
          <w:szCs w:val="22"/>
          <w:u w:val="single" w:color="auto"/>
          <w:color w:val="auto"/>
        </w:rPr>
        <w:t>Section 9.10(a)</w:t>
      </w:r>
      <w:r>
        <w:rPr>
          <w:rFonts w:ascii="Times New Roman" w:cs="Times New Roman" w:eastAsia="Times New Roman" w:hAnsi="Times New Roman"/>
          <w:sz w:val="22"/>
          <w:szCs w:val="22"/>
          <w:color w:val="auto"/>
        </w:rPr>
        <w:t xml:space="preserve"> with respect to any such issued Equity Interests.</w:t>
      </w:r>
    </w:p>
    <w:p>
      <w:pPr>
        <w:spacing w:after="0" w:line="181" w:lineRule="exact"/>
        <w:rPr>
          <w:sz w:val="20"/>
          <w:szCs w:val="20"/>
          <w:color w:val="auto"/>
        </w:rPr>
      </w:pPr>
    </w:p>
    <w:p>
      <w:pPr>
        <w:jc w:val="both"/>
        <w:ind w:right="399" w:firstLine="747"/>
        <w:spacing w:after="0" w:line="247" w:lineRule="auto"/>
        <w:rPr>
          <w:sz w:val="20"/>
          <w:szCs w:val="20"/>
          <w:color w:val="auto"/>
        </w:rPr>
      </w:pPr>
      <w:r>
        <w:rPr>
          <w:rFonts w:ascii="Times New Roman" w:cs="Times New Roman" w:eastAsia="Times New Roman" w:hAnsi="Times New Roman"/>
          <w:sz w:val="21"/>
          <w:szCs w:val="21"/>
          <w:color w:val="auto"/>
        </w:rPr>
        <w:t xml:space="preserve">Section 9.16 </w:t>
      </w:r>
      <w:r>
        <w:rPr>
          <w:rFonts w:ascii="Times New Roman" w:cs="Times New Roman" w:eastAsia="Times New Roman" w:hAnsi="Times New Roman"/>
          <w:sz w:val="21"/>
          <w:szCs w:val="21"/>
          <w:u w:val="single" w:color="auto"/>
          <w:color w:val="auto"/>
        </w:rPr>
        <w:t>Negative Pledge Agreements; Dividend Restrictions</w:t>
      </w:r>
      <w:r>
        <w:rPr>
          <w:rFonts w:ascii="Times New Roman" w:cs="Times New Roman" w:eastAsia="Times New Roman" w:hAnsi="Times New Roman"/>
          <w:sz w:val="21"/>
          <w:szCs w:val="21"/>
          <w:color w:val="auto"/>
        </w:rPr>
        <w:t>. The Borrower will not, and will not permit any other Relevant Party to, directly or indirectly, enter into, incur or permit to exist any agreement or other arrangement that prohibits, restricts or imposes any condition upon (a) the ability of the Borrower or any Restricted Subsidiary to create, incur or permit to exist any Lien upon any of its property,</w:t>
      </w:r>
    </w:p>
    <w:p>
      <w:pPr>
        <w:spacing w:after="0" w:line="2" w:lineRule="exact"/>
        <w:rPr>
          <w:sz w:val="20"/>
          <w:szCs w:val="20"/>
          <w:color w:val="auto"/>
        </w:rPr>
      </w:pPr>
    </w:p>
    <w:p>
      <w:pPr>
        <w:jc w:val="both"/>
        <w:ind w:right="399" w:firstLine="2"/>
        <w:spacing w:after="0" w:line="233" w:lineRule="auto"/>
        <w:tabs>
          <w:tab w:leader="none" w:pos="30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ability of any Restricted Subsidiary to pay dividends or other distributions with respect to any shares of its Equity Interests or to make or repay loans or advances to the Borrower or any other Restricted Subsidiary or to Guarantee Indebtedness of the Borrower or any other Restricted Subsidiary or transfer any of its properties to any Loan Party or (c) the ability of any Loan Party to amend or otherwise modify this Agreement or any other Loan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9" w:lineRule="exact"/>
        <w:rPr>
          <w:rFonts w:ascii="Times New Roman" w:cs="Times New Roman" w:eastAsia="Times New Roman" w:hAnsi="Times New Roman"/>
          <w:sz w:val="22"/>
          <w:szCs w:val="22"/>
          <w:color w:val="auto"/>
        </w:rPr>
      </w:pPr>
    </w:p>
    <w:p>
      <w:pPr>
        <w:ind w:right="399" w:firstLine="2249"/>
        <w:spacing w:after="0" w:line="258" w:lineRule="auto"/>
        <w:tabs>
          <w:tab w:leader="none" w:pos="2621"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shall not apply to restrictions and conditions imposed by applicable law or by the Loan Documents;</w:t>
      </w:r>
    </w:p>
    <w:p>
      <w:pPr>
        <w:spacing w:after="0" w:line="158" w:lineRule="exact"/>
        <w:rPr>
          <w:rFonts w:ascii="Times New Roman" w:cs="Times New Roman" w:eastAsia="Times New Roman" w:hAnsi="Times New Roman"/>
          <w:sz w:val="22"/>
          <w:szCs w:val="22"/>
          <w:color w:val="auto"/>
        </w:rPr>
      </w:pPr>
    </w:p>
    <w:p>
      <w:pPr>
        <w:jc w:val="both"/>
        <w:ind w:right="399" w:firstLine="2249"/>
        <w:spacing w:after="0" w:line="239" w:lineRule="auto"/>
        <w:tabs>
          <w:tab w:leader="none" w:pos="2744"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foregoing shall not apply to customary restrictions and conditions contained in agreements relating to the sale of a Restricted Subsidiary pending such sale,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restrictions and conditions apply only to the Restricted Subsidiary that is to be sold and such sale is permitted hereunder;</w:t>
      </w:r>
    </w:p>
    <w:p>
      <w:pPr>
        <w:spacing w:after="0" w:line="180" w:lineRule="exact"/>
        <w:rPr>
          <w:rFonts w:ascii="Times New Roman" w:cs="Times New Roman" w:eastAsia="Times New Roman" w:hAnsi="Times New Roman"/>
          <w:sz w:val="22"/>
          <w:szCs w:val="22"/>
          <w:color w:val="auto"/>
        </w:rPr>
      </w:pPr>
    </w:p>
    <w:p>
      <w:pPr>
        <w:jc w:val="both"/>
        <w:ind w:right="399" w:firstLine="2249"/>
        <w:spacing w:after="0" w:line="238" w:lineRule="auto"/>
        <w:tabs>
          <w:tab w:leader="none" w:pos="2783"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the foregoing shall not apply to (A) Capital Leases creating Liens permitted by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 xml:space="preserve">, but then only with respect to the Property that is the subject of such Capital Lease or (B) documents evidencing or securing Purchase Money Indebtedness creating Liens permitted by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 but then only with respect to the Property that is the subject of such Purchase Money Indebtedness;</w:t>
      </w:r>
    </w:p>
    <w:p>
      <w:pPr>
        <w:spacing w:after="0" w:line="176" w:lineRule="exact"/>
        <w:rPr>
          <w:rFonts w:ascii="Times New Roman" w:cs="Times New Roman" w:eastAsia="Times New Roman" w:hAnsi="Times New Roman"/>
          <w:sz w:val="22"/>
          <w:szCs w:val="22"/>
          <w:color w:val="auto"/>
        </w:rPr>
      </w:pPr>
    </w:p>
    <w:p>
      <w:pPr>
        <w:ind w:right="399" w:firstLine="2249"/>
        <w:spacing w:after="0" w:line="258" w:lineRule="auto"/>
        <w:tabs>
          <w:tab w:leader="none" w:pos="2738"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the foregoing shall not apply to customary provisions in leases and other contracts restricting the assignment thereof;</w:t>
      </w:r>
    </w:p>
    <w:p>
      <w:pPr>
        <w:spacing w:after="0" w:line="158" w:lineRule="exact"/>
        <w:rPr>
          <w:rFonts w:ascii="Times New Roman" w:cs="Times New Roman" w:eastAsia="Times New Roman" w:hAnsi="Times New Roman"/>
          <w:sz w:val="22"/>
          <w:szCs w:val="22"/>
          <w:color w:val="auto"/>
        </w:rPr>
      </w:pPr>
    </w:p>
    <w:p>
      <w:pPr>
        <w:jc w:val="both"/>
        <w:ind w:right="399" w:firstLine="2249"/>
        <w:spacing w:after="0" w:line="238" w:lineRule="auto"/>
        <w:tabs>
          <w:tab w:leader="none" w:pos="2864"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 (a) of the foregoing shall not apply to any encumbrances or restrictions that are or were created by virtue of any transfer of, agreement to transfer or option or right with respect to any property, assets or capital stock not otherwise prohibited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1665605</wp:posOffset>
            </wp:positionH>
            <wp:positionV relativeFrom="paragraph">
              <wp:posOffset>-331470</wp:posOffset>
            </wp:positionV>
            <wp:extent cx="72644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726440" cy="8890"/>
                    </a:xfrm>
                    <a:prstGeom prst="rect">
                      <a:avLst/>
                    </a:prstGeom>
                    <a:noFill/>
                  </pic:spPr>
                </pic:pic>
              </a:graphicData>
            </a:graphic>
          </wp:anchor>
        </w:drawing>
      </w:r>
    </w:p>
    <w:p>
      <w:pPr>
        <w:ind w:left="5100"/>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56" w:name="page157"/>
    <w:bookmarkEnd w:id="156"/>
    <w:p>
      <w:pPr>
        <w:jc w:val="both"/>
        <w:ind w:right="399" w:firstLine="2249"/>
        <w:spacing w:after="0" w:line="244" w:lineRule="auto"/>
        <w:tabs>
          <w:tab w:leader="none" w:pos="281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 (a) of the foregoing shall not apply to any restrictions regarding licenses or sublicenses by the Borrower and its Restricted Subsidiaries of intellectual property in the ordinary course of business;</w:t>
      </w:r>
    </w:p>
    <w:p>
      <w:pPr>
        <w:spacing w:after="0" w:line="173" w:lineRule="exact"/>
        <w:rPr>
          <w:sz w:val="20"/>
          <w:szCs w:val="20"/>
          <w:color w:val="auto"/>
        </w:rPr>
      </w:pPr>
    </w:p>
    <w:p>
      <w:pPr>
        <w:jc w:val="both"/>
        <w:ind w:right="399" w:firstLine="2246"/>
        <w:spacing w:after="0" w:line="239" w:lineRule="auto"/>
        <w:rPr>
          <w:sz w:val="20"/>
          <w:szCs w:val="20"/>
          <w:color w:val="auto"/>
        </w:rPr>
      </w:pPr>
      <w:r>
        <w:rPr>
          <w:rFonts w:ascii="Times New Roman" w:cs="Times New Roman" w:eastAsia="Times New Roman" w:hAnsi="Times New Roman"/>
          <w:sz w:val="22"/>
          <w:szCs w:val="22"/>
          <w:color w:val="auto"/>
        </w:rPr>
        <w:t>(vii)clause (a) of the foregoing shall not apply to documents creating Liens which are described in clause (g)(i) or (h) of the definition of the term “Excepted Liens”, but then only with respect to the Property that is the subject of the applicable lease, document or license described in such clause (g)(i) or (h); and</w:t>
      </w:r>
    </w:p>
    <w:p>
      <w:pPr>
        <w:spacing w:after="0" w:line="180" w:lineRule="exact"/>
        <w:rPr>
          <w:sz w:val="20"/>
          <w:szCs w:val="20"/>
          <w:color w:val="auto"/>
        </w:rPr>
      </w:pPr>
    </w:p>
    <w:p>
      <w:pPr>
        <w:jc w:val="both"/>
        <w:ind w:right="399" w:firstLine="2246"/>
        <w:spacing w:after="0" w:line="244" w:lineRule="auto"/>
        <w:rPr>
          <w:sz w:val="20"/>
          <w:szCs w:val="20"/>
          <w:color w:val="auto"/>
        </w:rPr>
      </w:pPr>
      <w:r>
        <w:rPr>
          <w:rFonts w:ascii="Times New Roman" w:cs="Times New Roman" w:eastAsia="Times New Roman" w:hAnsi="Times New Roman"/>
          <w:sz w:val="22"/>
          <w:szCs w:val="22"/>
          <w:color w:val="auto"/>
        </w:rPr>
        <w:t>(viii)</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the foregoing shall not apply to any restrictions on cash or other deposits imposed by customers, suppliers or other third parties, in each case, in the ordinary course of business.</w:t>
      </w:r>
    </w:p>
    <w:p>
      <w:pPr>
        <w:spacing w:after="0" w:line="173"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 xml:space="preserve">Section 9.17 </w:t>
      </w:r>
      <w:r>
        <w:rPr>
          <w:rFonts w:ascii="Times New Roman" w:cs="Times New Roman" w:eastAsia="Times New Roman" w:hAnsi="Times New Roman"/>
          <w:sz w:val="22"/>
          <w:szCs w:val="22"/>
          <w:u w:val="single" w:color="auto"/>
          <w:color w:val="auto"/>
        </w:rPr>
        <w:t>Hedging Agreements</w:t>
      </w:r>
      <w:r>
        <w:rPr>
          <w:rFonts w:ascii="Times New Roman" w:cs="Times New Roman" w:eastAsia="Times New Roman" w:hAnsi="Times New Roman"/>
          <w:sz w:val="22"/>
          <w:szCs w:val="22"/>
          <w:color w:val="auto"/>
        </w:rPr>
        <w:t>. The Borrower will not, and will not permit any Loan Party to, enter into any Hedging Agreements with any Person other than Hedging Agreements in respect of commodities or interest rates that are entered into with an Approved Counterparty for the purpose of hedging exposure to interest rates or commodity price risk (including basis risk) and that are not for speculative purposes. In no event shall any Hedging Agreement contain any requirement, agreement or covenant for any Loan Party to maintain or post (other than pursuant to a Security Instrument) collateral or margin to secure their obligations under such Hedging Agreement or to cover market exposures.</w:t>
      </w:r>
    </w:p>
    <w:p>
      <w:pPr>
        <w:spacing w:after="0" w:line="183"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 xml:space="preserve">Section 9.18 </w:t>
      </w:r>
      <w:r>
        <w:rPr>
          <w:rFonts w:ascii="Times New Roman" w:cs="Times New Roman" w:eastAsia="Times New Roman" w:hAnsi="Times New Roman"/>
          <w:sz w:val="22"/>
          <w:szCs w:val="22"/>
          <w:u w:val="single" w:color="auto"/>
          <w:color w:val="auto"/>
        </w:rPr>
        <w:t>Sale and Leaseback</w:t>
      </w:r>
      <w:r>
        <w:rPr>
          <w:rFonts w:ascii="Times New Roman" w:cs="Times New Roman" w:eastAsia="Times New Roman" w:hAnsi="Times New Roman"/>
          <w:sz w:val="22"/>
          <w:szCs w:val="22"/>
          <w:color w:val="auto"/>
        </w:rPr>
        <w:t xml:space="preserve">. The Borrower shall not, and shall not permit any other Relevant Party to, enter into any arrangement, directly or indirectly, with any Person whereby it shall sell or transfer any Property, whether now owned or hereafter acquired, and thereafter rent or lease such Property that it intends to use for substantially the same purpose or purposes as the Property being sold or transferred other than any such arrangements that occur in connection with Capital Leases and Synthetic Leases permitted under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 xml:space="preserve"> (and that, for the avoidance of doubt, constitute a use of basket capacity under such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 xml:space="preserve">Section 9.19 </w:t>
      </w:r>
      <w:r>
        <w:rPr>
          <w:rFonts w:ascii="Times New Roman" w:cs="Times New Roman" w:eastAsia="Times New Roman" w:hAnsi="Times New Roman"/>
          <w:sz w:val="22"/>
          <w:szCs w:val="22"/>
          <w:u w:val="single" w:color="auto"/>
          <w:color w:val="auto"/>
        </w:rPr>
        <w:t>Amendments to Organization Documents, Material Contracts or Fiscal Year End;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Prepayments of other Indebtedness</w:t>
      </w:r>
      <w:r>
        <w:rPr>
          <w:rFonts w:ascii="Times New Roman" w:cs="Times New Roman" w:eastAsia="Times New Roman" w:hAnsi="Times New Roman"/>
          <w:sz w:val="22"/>
          <w:szCs w:val="22"/>
          <w:color w:val="auto"/>
        </w:rPr>
        <w:t>. The Borrower shall not, and shall not permit any other Relevant Party to:</w:t>
      </w:r>
    </w:p>
    <w:p>
      <w:pPr>
        <w:spacing w:after="0" w:line="173"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(a)supplement or otherwise modify (or permit to be amended, supplemented or modified) its Organization Documents in any manner that would be materially adverse to the Lenders (it being understood that any amendment, supplement or other modification to any Relevant Party’s Organization Documents (other than, for the avoidance of doubt, the Pinnacle Redemption Agreement as in effect on the Effective Date with respect to the Specified Pinnacle Equity Redemption) that requires any Relevant Party to make or pay cash distributions in respect of, or mandatory redemption in cash of, any Relevant Party’s Equity Interests prior to 91 days after the Maturity Date shall be deemed to be materially adverse to Lenders);</w:t>
      </w:r>
    </w:p>
    <w:p>
      <w:pPr>
        <w:spacing w:after="0" w:line="178"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(b)take any of the following actions if such action could reasonably be expected to be materially adverse to the Lenders: (i) amend, supplement or otherwise modify (or permit to be amended, supplemented or modified) any Material Contract, (ii) assign to any Person</w:t>
      </w:r>
    </w:p>
    <w:p>
      <w:pPr>
        <w:spacing w:after="0" w:line="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300" w:right="1440" w:bottom="1440" w:gutter="0" w:footer="0" w:header="0"/>
        </w:sectPr>
      </w:pPr>
    </w:p>
    <w:bookmarkStart w:id="157" w:name="page158"/>
    <w:bookmarkEnd w:id="157"/>
    <w:p>
      <w:pPr>
        <w:ind w:right="939"/>
        <w:spacing w:after="0" w:line="258" w:lineRule="auto"/>
        <w:rPr>
          <w:sz w:val="20"/>
          <w:szCs w:val="20"/>
          <w:color w:val="auto"/>
        </w:rPr>
      </w:pPr>
      <w:r>
        <w:rPr>
          <w:rFonts w:ascii="Times New Roman" w:cs="Times New Roman" w:eastAsia="Times New Roman" w:hAnsi="Times New Roman"/>
          <w:sz w:val="22"/>
          <w:szCs w:val="22"/>
          <w:color w:val="auto"/>
        </w:rPr>
        <w:t>(other than any other Loan Party) any of its rights under any Material Contract or (iii) waive any of its rights of material value under any Material Contract;</w:t>
      </w:r>
    </w:p>
    <w:p>
      <w:pPr>
        <w:spacing w:after="0" w:line="158"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1"/>
          <w:szCs w:val="21"/>
          <w:color w:val="auto"/>
        </w:rPr>
        <w:t xml:space="preserve">(c)without the consent of the Administrative Agent (such consent not to be unreasonably withheld, conditioned or delayed), amend, supplement, waive or otherwise modify (or permit to be amended, supplemented, waived or modified) any Specified Material Contract (or provision thereof) in a manner adverse to the Lenders or the Loan Parties, it being agreed that any amendment, supplement, waiver or modification with respect to any Specified Material Contract (or provision thereof) that, together with all prior amendments, supplements, waivers or modifications to all Specified Material Contracts (or provision thereof) entered into after the Effective Date would reasonably be expected to result in cash receipts by the Loan Parties under all Specified Material Contracts during any twelve month period during the remaining life of such Specified Material Contracts being reduced by greater than 5% of the cash receipts that would have been received by the Loan Parties under such Specified Material Contracts for any such twelve month period prior to giving effect to such amendment, supplement waiver or modification will be deemed to be materially adverse to the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following the consummation of the Specified Pinnacle Equity Redemption, the Loan Parties may modify or remove the minimum volume commitment provision contained in the Gathering and Dedication Agreement, dated as of October 30, 2023, by and between PGT and Comstock Oil &amp; Gas, LLC, and such modification or removal shall not constitute a violation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9.19(b)</w:t>
      </w:r>
      <w:r>
        <w:rPr>
          <w:rFonts w:ascii="Times New Roman" w:cs="Times New Roman" w:eastAsia="Times New Roman" w:hAnsi="Times New Roman"/>
          <w:sz w:val="21"/>
          <w:szCs w:val="21"/>
          <w:color w:val="auto"/>
        </w:rPr>
        <w:t xml:space="preserve"> or this </w:t>
      </w:r>
      <w:r>
        <w:rPr>
          <w:rFonts w:ascii="Times New Roman" w:cs="Times New Roman" w:eastAsia="Times New Roman" w:hAnsi="Times New Roman"/>
          <w:sz w:val="21"/>
          <w:szCs w:val="21"/>
          <w:u w:val="single" w:color="auto"/>
          <w:color w:val="auto"/>
        </w:rPr>
        <w:t>Section 9.19(c)</w:t>
      </w:r>
      <w:r>
        <w:rPr>
          <w:rFonts w:ascii="Times New Roman" w:cs="Times New Roman" w:eastAsia="Times New Roman" w:hAnsi="Times New Roman"/>
          <w:sz w:val="21"/>
          <w:szCs w:val="21"/>
          <w:color w:val="auto"/>
        </w:rPr>
        <w:t xml:space="preserve"> so long as such changes comply with </w:t>
      </w:r>
      <w:r>
        <w:rPr>
          <w:rFonts w:ascii="Times New Roman" w:cs="Times New Roman" w:eastAsia="Times New Roman" w:hAnsi="Times New Roman"/>
          <w:sz w:val="21"/>
          <w:szCs w:val="21"/>
          <w:u w:val="single" w:color="auto"/>
          <w:color w:val="auto"/>
        </w:rPr>
        <w:t>Section 9.13</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(d)amend, supplement or otherwise modify (or permit to be amended, supplemented or modified) any management, reimbursement or similar agreement between any Relevant Party and any Affiliate in a manner (when aggregated with all other amendments, supplements or modifications thereto since the Effective Date) materially adverse to the Lenders or the Loan Parties;</w:t>
      </w:r>
    </w:p>
    <w:p>
      <w:pPr>
        <w:spacing w:after="0" w:line="180"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(e)change the last day of its fiscal year from December 31 of each year, or the last days of the first three fiscal quarters in each of its fiscal years from March 31, June 30 and September 30 of each year, respectively; or</w:t>
      </w:r>
    </w:p>
    <w:p>
      <w:pPr>
        <w:spacing w:after="0" w:line="173"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(f)make (or give any notice in respect of) any voluntary or optional payment or prepayment on or Redemption or acquisition for value of, or any prepayment or Redemption as a result of any asset disposition, change of control or similar event of, any outstanding Indebtedness that is subordinated in right of payment to the Loans, except as otherwise permitted by this Agreement.</w:t>
      </w:r>
    </w:p>
    <w:p>
      <w:pPr>
        <w:spacing w:after="0" w:line="180" w:lineRule="exact"/>
        <w:rPr>
          <w:sz w:val="20"/>
          <w:szCs w:val="20"/>
          <w:color w:val="auto"/>
        </w:rPr>
      </w:pPr>
    </w:p>
    <w:p>
      <w:pPr>
        <w:jc w:val="both"/>
        <w:ind w:right="399" w:firstLine="747"/>
        <w:spacing w:after="0" w:line="258" w:lineRule="auto"/>
        <w:rPr>
          <w:sz w:val="20"/>
          <w:szCs w:val="20"/>
          <w:color w:val="auto"/>
        </w:rPr>
      </w:pPr>
      <w:r>
        <w:rPr>
          <w:rFonts w:ascii="Times New Roman" w:cs="Times New Roman" w:eastAsia="Times New Roman" w:hAnsi="Times New Roman"/>
          <w:sz w:val="22"/>
          <w:szCs w:val="22"/>
          <w:color w:val="auto"/>
        </w:rPr>
        <w:t xml:space="preserve">Section 9.20 </w:t>
      </w:r>
      <w:r>
        <w:rPr>
          <w:rFonts w:ascii="Times New Roman" w:cs="Times New Roman" w:eastAsia="Times New Roman" w:hAnsi="Times New Roman"/>
          <w:sz w:val="22"/>
          <w:szCs w:val="22"/>
          <w:u w:val="single" w:color="auto"/>
          <w:color w:val="auto"/>
        </w:rPr>
        <w:t>Hydrocarbon Marketing Activities</w:t>
      </w:r>
      <w:r>
        <w:rPr>
          <w:rFonts w:ascii="Times New Roman" w:cs="Times New Roman" w:eastAsia="Times New Roman" w:hAnsi="Times New Roman"/>
          <w:sz w:val="22"/>
          <w:szCs w:val="22"/>
          <w:color w:val="auto"/>
        </w:rPr>
        <w:t>. The Borrower will not, and will not permit any other Loan Party to, engage in any Marketing Activities other than Permitted Marketing Activities.</w:t>
      </w:r>
    </w:p>
    <w:p>
      <w:pPr>
        <w:spacing w:after="0" w:line="158"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 xml:space="preserve">Section 9.21 </w:t>
      </w:r>
      <w:r>
        <w:rPr>
          <w:rFonts w:ascii="Times New Roman" w:cs="Times New Roman" w:eastAsia="Times New Roman" w:hAnsi="Times New Roman"/>
          <w:sz w:val="22"/>
          <w:szCs w:val="22"/>
          <w:u w:val="single" w:color="auto"/>
          <w:color w:val="auto"/>
        </w:rPr>
        <w:t>Additional Deposit Accounts, Securities Accounts and Commodity Accounts</w:t>
      </w:r>
      <w:r>
        <w:rPr>
          <w:rFonts w:ascii="Times New Roman" w:cs="Times New Roman" w:eastAsia="Times New Roman" w:hAnsi="Times New Roman"/>
          <w:sz w:val="22"/>
          <w:szCs w:val="22"/>
          <w:color w:val="auto"/>
        </w:rPr>
        <w:t>. The Borrower shall not, and shall not permit any of its Restricted Subsidiaries to, open, establish or maintain any operating, revenue, collection or other Deposit Accounts (other than Excluded Accounts) with any depositary bank, securities intermediary or commodity intermediary other than those depositary banks, securities intermediaries or commodity intermediaries with</w:t>
      </w:r>
    </w:p>
    <w:p>
      <w:pPr>
        <w:spacing w:after="0" w:line="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58" w:name="page159"/>
    <w:bookmarkEnd w:id="158"/>
    <w:p>
      <w:pPr>
        <w:jc w:val="both"/>
        <w:ind w:right="399"/>
        <w:spacing w:after="0" w:line="235" w:lineRule="auto"/>
        <w:rPr>
          <w:sz w:val="20"/>
          <w:szCs w:val="20"/>
          <w:color w:val="auto"/>
        </w:rPr>
      </w:pPr>
      <w:r>
        <w:rPr>
          <w:rFonts w:ascii="Times New Roman" w:cs="Times New Roman" w:eastAsia="Times New Roman" w:hAnsi="Times New Roman"/>
          <w:sz w:val="22"/>
          <w:szCs w:val="22"/>
          <w:color w:val="auto"/>
        </w:rPr>
        <w:t>whom the Borrower or such Restricted Subsidiary maintains its Deposit Accounts, Securities Accounts or Commodity Accounts on and as of the Effective Date unless (a) the Administrative Agent shall have consented in writing to the opening or establishment of a new Deposit Account, Securities Account or Commodities Account (such consent not being required with respect to any Deposit Account, Securities Account or Commodity Account opened or maintained with the Administrative Agent or any of its Affiliates) and (b) such new Deposit Account, Securities Account or Commodity Account shall be, concurrently with its opening or establishment, subject to the Administrative Agent’s control pursuant to an Account Control Agreement.</w:t>
      </w:r>
    </w:p>
    <w:p>
      <w:pPr>
        <w:spacing w:after="0" w:line="17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Events of Default; Remedies</w:t>
      </w:r>
    </w:p>
    <w:p>
      <w:pPr>
        <w:spacing w:after="0" w:line="182" w:lineRule="exact"/>
        <w:rPr>
          <w:sz w:val="20"/>
          <w:szCs w:val="20"/>
          <w:color w:val="auto"/>
        </w:rPr>
      </w:pPr>
    </w:p>
    <w:p>
      <w:pPr>
        <w:ind w:right="1379"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One or more of the following events shall constitute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(a)The Borrower shall fail to pay any principal of any Loan or any reimbursement obligation in respect of any LC Disbursement when and as the same shall become due and payable, whether at the due date thereof or at a date fixed for prepayment thereof, by acceleration or otherwise.</w:t>
      </w:r>
    </w:p>
    <w:p>
      <w:pPr>
        <w:spacing w:after="0" w:line="173"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 xml:space="preserve">(b)The Borrower shall fail to pay any interest on any Loan or any Loan Party shall fail to pay any fee or other amount (other than an amount referred to in </w:t>
      </w:r>
      <w:r>
        <w:rPr>
          <w:rFonts w:ascii="Times New Roman" w:cs="Times New Roman" w:eastAsia="Times New Roman" w:hAnsi="Times New Roman"/>
          <w:sz w:val="22"/>
          <w:szCs w:val="22"/>
          <w:u w:val="single" w:color="auto"/>
          <w:color w:val="auto"/>
        </w:rPr>
        <w:t>Section 10.01(a)</w:t>
      </w:r>
      <w:r>
        <w:rPr>
          <w:rFonts w:ascii="Times New Roman" w:cs="Times New Roman" w:eastAsia="Times New Roman" w:hAnsi="Times New Roman"/>
          <w:sz w:val="22"/>
          <w:szCs w:val="22"/>
          <w:color w:val="auto"/>
        </w:rPr>
        <w:t>) payable under any Loan Document to which such Loan Party is a party, when and as the same shall become due and payable, and such failure shall continue unremedied for a period of three (3) Business Days.</w:t>
      </w:r>
    </w:p>
    <w:p>
      <w:pPr>
        <w:spacing w:after="0" w:line="180"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(c)Any representation or warranty made or deemed made by or on behalf of any Relevant Party in or in connection with any Loan Document or any amendment or modification of any Loan Document or waiver under such Loan Document, or in any report, certificate, financial statement or other document required under any Loan Document or any amendment or modification thereof or waiver thereunder, shall prove to have been incorrect in any material respect when made or deemed made or, to the extent any such representation or warranty is qualified by “material” or “Material Adverse Effect” references therein, such representation or warranty shall prove to have been incorrect in any respect when made or deemed made.</w:t>
      </w:r>
    </w:p>
    <w:p>
      <w:pPr>
        <w:spacing w:after="0" w:line="178" w:lineRule="exact"/>
        <w:rPr>
          <w:sz w:val="20"/>
          <w:szCs w:val="20"/>
          <w:color w:val="auto"/>
        </w:rPr>
      </w:pPr>
    </w:p>
    <w:p>
      <w:pPr>
        <w:jc w:val="both"/>
        <w:ind w:right="399" w:firstLine="1498"/>
        <w:spacing w:after="0" w:line="255" w:lineRule="auto"/>
        <w:rPr>
          <w:sz w:val="20"/>
          <w:szCs w:val="20"/>
          <w:color w:val="auto"/>
        </w:rPr>
      </w:pPr>
      <w:r>
        <w:rPr>
          <w:rFonts w:ascii="Times New Roman" w:cs="Times New Roman" w:eastAsia="Times New Roman" w:hAnsi="Times New Roman"/>
          <w:sz w:val="21"/>
          <w:szCs w:val="21"/>
          <w:color w:val="auto"/>
        </w:rPr>
        <w:t xml:space="preserve">(d)Any Relevant Party shall fail to observe or perform any covenant, condition or agreement contained in </w:t>
      </w:r>
      <w:r>
        <w:rPr>
          <w:rFonts w:ascii="Times New Roman" w:cs="Times New Roman" w:eastAsia="Times New Roman" w:hAnsi="Times New Roman"/>
          <w:sz w:val="21"/>
          <w:szCs w:val="21"/>
          <w:u w:val="single" w:color="auto"/>
          <w:color w:val="auto"/>
        </w:rPr>
        <w:t>Section 8.01(i)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8.01(j)</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xml:space="preserve"> (with respect to the existence of any Loan Party), </w:t>
      </w:r>
      <w:r>
        <w:rPr>
          <w:rFonts w:ascii="Times New Roman" w:cs="Times New Roman" w:eastAsia="Times New Roman" w:hAnsi="Times New Roman"/>
          <w:sz w:val="21"/>
          <w:szCs w:val="21"/>
          <w:u w:val="single" w:color="auto"/>
          <w:color w:val="auto"/>
        </w:rPr>
        <w:t>Section 8.07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8.18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8.20</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the avoidance of doubt, a breach of </w:t>
      </w:r>
      <w:r>
        <w:rPr>
          <w:rFonts w:ascii="Times New Roman" w:cs="Times New Roman" w:eastAsia="Times New Roman" w:hAnsi="Times New Roman"/>
          <w:sz w:val="21"/>
          <w:szCs w:val="21"/>
          <w:u w:val="single" w:color="auto"/>
          <w:color w:val="auto"/>
        </w:rPr>
        <w:t>Section 9.01(a)</w:t>
      </w:r>
      <w:r>
        <w:rPr>
          <w:rFonts w:ascii="Times New Roman" w:cs="Times New Roman" w:eastAsia="Times New Roman" w:hAnsi="Times New Roman"/>
          <w:sz w:val="21"/>
          <w:szCs w:val="21"/>
          <w:color w:val="auto"/>
        </w:rPr>
        <w:t xml:space="preserve"> is subject to cure pursuant to </w:t>
      </w:r>
      <w:r>
        <w:rPr>
          <w:rFonts w:ascii="Times New Roman" w:cs="Times New Roman" w:eastAsia="Times New Roman" w:hAnsi="Times New Roman"/>
          <w:sz w:val="21"/>
          <w:szCs w:val="21"/>
          <w:u w:val="single" w:color="auto"/>
          <w:color w:val="auto"/>
        </w:rPr>
        <w:t>Section 9.01(b)</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 xml:space="preserve">(e)Any Relevant Party shall fail to observe or perform any covenant, condition or agreement contained in this Agreement (other than those specified in </w:t>
      </w:r>
      <w:r>
        <w:rPr>
          <w:rFonts w:ascii="Times New Roman" w:cs="Times New Roman" w:eastAsia="Times New Roman" w:hAnsi="Times New Roman"/>
          <w:sz w:val="22"/>
          <w:szCs w:val="22"/>
          <w:u w:val="single" w:color="auto"/>
          <w:color w:val="auto"/>
        </w:rPr>
        <w:t>Section 10.01(a)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10.01(b)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10.01(d)</w:t>
      </w:r>
      <w:r>
        <w:rPr>
          <w:rFonts w:ascii="Times New Roman" w:cs="Times New Roman" w:eastAsia="Times New Roman" w:hAnsi="Times New Roman"/>
          <w:sz w:val="22"/>
          <w:szCs w:val="22"/>
          <w:color w:val="auto"/>
        </w:rPr>
        <w:t>) or any other Loan Document, and such failure shall continue unremedied for a period of thirty (30) days after the earlier to occur of (i) notice thereof from the Administrative Agent to the Borrower (which notice may be given by the Administrative Agent</w:t>
      </w:r>
    </w:p>
    <w:p>
      <w:pPr>
        <w:spacing w:after="0" w:line="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59" w:name="page160"/>
    <w:bookmarkEnd w:id="159"/>
    <w:p>
      <w:pPr>
        <w:ind w:right="1179"/>
        <w:spacing w:after="0" w:line="258" w:lineRule="auto"/>
        <w:rPr>
          <w:sz w:val="20"/>
          <w:szCs w:val="20"/>
          <w:color w:val="auto"/>
        </w:rPr>
      </w:pPr>
      <w:r>
        <w:rPr>
          <w:rFonts w:ascii="Times New Roman" w:cs="Times New Roman" w:eastAsia="Times New Roman" w:hAnsi="Times New Roman"/>
          <w:sz w:val="22"/>
          <w:szCs w:val="22"/>
          <w:color w:val="auto"/>
        </w:rPr>
        <w:t>or by the Required Lenders through the Administrative Agent) or (ii) a Responsible Officer of such Relevant Party otherwise becoming aware of such default.</w:t>
      </w:r>
    </w:p>
    <w:p>
      <w:pPr>
        <w:spacing w:after="0" w:line="158"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(f)The termination of, breach of or default under one or more Material Contracts that would reasonably be expected to have, individually or in the aggregate, a Material Adverse Effect.</w:t>
      </w:r>
    </w:p>
    <w:p>
      <w:pPr>
        <w:spacing w:after="0" w:line="158"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(g)(i) Any Relevant Party shall fail to make any payment of principal of or interest on any Material Indebtedness, when and as the same shall become due and payable, and such failure to pay shall extend beyond any applicable period of grace or (ii) any event or condition occurs that results in any Material Indebtedness becoming due prior to its scheduled maturity or that enables or permits (with or without the giving of notice, the lapse of time or both, beyond any applicable period of grace) the holder or holders of such Material Indebtedness or any trustee or agent on its or their behalf to cause such Material Indebtedness to become due, or to require the Redemption thereof or any offer to Redeem to be made in respect thereof, prior to its scheduled maturity or require any Relevant Party to make an offer in respect thereof.</w:t>
      </w:r>
    </w:p>
    <w:p>
      <w:pPr>
        <w:spacing w:after="0" w:line="183"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(h)An involuntary proceeding shall be commenced or an involuntary petition shall be filed seeking (i) liquidation, reorganization or other relief in respect of any Relevant Party or its debts, or of a substantial part of its Property, under any Federal, state or foreign Debtor Relief Laws now or hereafter in effect or (ii) the appointment of a receiver, trustee, custodian, sequestrator, conservator or similar official for any Relevant Party or for a substantial part of its Property, and, in any such case, such proceeding or petition shall continue undismissed for sixty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days or an order or decree approving or ordering any of the foregoing shall be entered.</w:t>
      </w:r>
    </w:p>
    <w:p>
      <w:pPr>
        <w:spacing w:after="0" w:line="182"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 xml:space="preserve">(i)Any Relevant Party shall (i) voluntarily commence any proceeding or file any petition seeking liquidation, reorganization or other relief under any Federal, state or foreign Debtor Relief Laws now or hereafter in effect, (ii) consent to the institution of, or fail to contest in a timely and appropriate manner, any proceeding or petition described in </w:t>
      </w:r>
      <w:r>
        <w:rPr>
          <w:rFonts w:ascii="Times New Roman" w:cs="Times New Roman" w:eastAsia="Times New Roman" w:hAnsi="Times New Roman"/>
          <w:sz w:val="22"/>
          <w:szCs w:val="22"/>
          <w:u w:val="single" w:color="auto"/>
          <w:color w:val="auto"/>
        </w:rPr>
        <w:t>Section 10.01(h)</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right="399" w:firstLine="2"/>
        <w:spacing w:after="0" w:line="230" w:lineRule="auto"/>
        <w:tabs>
          <w:tab w:leader="none" w:pos="39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for or consent to the appointment of a receiver, trustee, custodian, sequestrator, conservator or similar official for any Relevant Party or for a substantial part of its Property,</w:t>
      </w:r>
    </w:p>
    <w:p>
      <w:pPr>
        <w:spacing w:after="0" w:line="1" w:lineRule="exact"/>
        <w:rPr>
          <w:rFonts w:ascii="Times New Roman" w:cs="Times New Roman" w:eastAsia="Times New Roman" w:hAnsi="Times New Roman"/>
          <w:sz w:val="22"/>
          <w:szCs w:val="22"/>
          <w:color w:val="auto"/>
        </w:rPr>
      </w:pPr>
    </w:p>
    <w:p>
      <w:pPr>
        <w:jc w:val="both"/>
        <w:ind w:right="399" w:firstLine="2"/>
        <w:spacing w:after="0" w:line="235" w:lineRule="auto"/>
        <w:tabs>
          <w:tab w:leader="none" w:pos="36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an answer admitting the material allegations of a petition filed against it in any such proceeding, (v) make a general assignment for the benefit of creditors, or (vi) take any limited liability company or other action for the purpose of effecting any of the foregoing.</w:t>
      </w:r>
    </w:p>
    <w:p>
      <w:pPr>
        <w:spacing w:after="0" w:line="178" w:lineRule="exact"/>
        <w:rPr>
          <w:sz w:val="20"/>
          <w:szCs w:val="20"/>
          <w:color w:val="auto"/>
        </w:rPr>
      </w:pPr>
    </w:p>
    <w:p>
      <w:pPr>
        <w:jc w:val="both"/>
        <w:ind w:right="399" w:firstLine="1498"/>
        <w:spacing w:after="0" w:line="258" w:lineRule="auto"/>
        <w:rPr>
          <w:sz w:val="20"/>
          <w:szCs w:val="20"/>
          <w:color w:val="auto"/>
        </w:rPr>
      </w:pPr>
      <w:r>
        <w:rPr>
          <w:rFonts w:ascii="Times New Roman" w:cs="Times New Roman" w:eastAsia="Times New Roman" w:hAnsi="Times New Roman"/>
          <w:sz w:val="22"/>
          <w:szCs w:val="22"/>
          <w:color w:val="auto"/>
        </w:rPr>
        <w:t>(j)Any Relevant Party shall become unable, admit in writing its inability or fail generally to pay its debts as they become due.</w:t>
      </w:r>
    </w:p>
    <w:p>
      <w:pPr>
        <w:spacing w:after="0" w:line="158" w:lineRule="exact"/>
        <w:rPr>
          <w:sz w:val="20"/>
          <w:szCs w:val="20"/>
          <w:color w:val="auto"/>
        </w:rPr>
      </w:pPr>
    </w:p>
    <w:p>
      <w:pPr>
        <w:jc w:val="both"/>
        <w:ind w:right="399" w:firstLine="1498"/>
        <w:spacing w:after="0" w:line="249" w:lineRule="auto"/>
        <w:rPr>
          <w:sz w:val="20"/>
          <w:szCs w:val="20"/>
          <w:color w:val="auto"/>
        </w:rPr>
      </w:pPr>
      <w:r>
        <w:rPr>
          <w:rFonts w:ascii="Times New Roman" w:cs="Times New Roman" w:eastAsia="Times New Roman" w:hAnsi="Times New Roman"/>
          <w:sz w:val="21"/>
          <w:szCs w:val="21"/>
          <w:color w:val="auto"/>
        </w:rPr>
        <w:t>(k)(i) One or more judgments for the payment of money in an aggregate amount in excess of $15,000,000 (to the extent not covered by independent third party insurance provided by creditworthy insurers as to which the insurer does not dispute coverage and is not subject to an insolvency proceeding) or</w:t>
      </w:r>
    </w:p>
    <w:p>
      <w:pPr>
        <w:spacing w:after="0" w:line="1" w:lineRule="exact"/>
        <w:rPr>
          <w:sz w:val="20"/>
          <w:szCs w:val="20"/>
          <w:color w:val="auto"/>
        </w:rPr>
      </w:pPr>
    </w:p>
    <w:p>
      <w:pPr>
        <w:jc w:val="both"/>
        <w:ind w:right="399" w:firstLine="2"/>
        <w:spacing w:after="0" w:line="230" w:lineRule="auto"/>
        <w:tabs>
          <w:tab w:leader="none" w:pos="36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one or more non-monetary judgments that have, individually or in the aggregate, a Material Adverse Effect, shall be rendered against, any Relevant Party or multiple Relevant Parties and the same shall remain undischarged for a period of sixty (60) consecutive days during which execution shall not be effectively stayed (pursuant to applicable law, rules, court orders, settlement agreements or agreements with the judgment creditor (so long as such agreements would not have a Material Adverse Effect)), vacated, discharged or</w:t>
      </w:r>
    </w:p>
    <w:p>
      <w:pPr>
        <w:spacing w:after="0" w:line="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60" w:name="page161"/>
    <w:bookmarkEnd w:id="160"/>
    <w:p>
      <w:pPr>
        <w:ind w:right="679"/>
        <w:spacing w:after="0" w:line="258" w:lineRule="auto"/>
        <w:rPr>
          <w:sz w:val="20"/>
          <w:szCs w:val="20"/>
          <w:color w:val="auto"/>
        </w:rPr>
      </w:pPr>
      <w:r>
        <w:rPr>
          <w:rFonts w:ascii="Times New Roman" w:cs="Times New Roman" w:eastAsia="Times New Roman" w:hAnsi="Times New Roman"/>
          <w:sz w:val="22"/>
          <w:szCs w:val="22"/>
          <w:color w:val="auto"/>
        </w:rPr>
        <w:t>bonded or any action shall be legally taken by a judgment creditor or judgment creditors to attach or levy upon any Property of any Relevant Party to enforce any such judgment.</w:t>
      </w:r>
    </w:p>
    <w:p>
      <w:pPr>
        <w:spacing w:after="0" w:line="158"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(l)The Loan Documents after delivery thereof shall for any reason, except to the extent permitted by the terms thereof, (i) cease to be in full force and effect and valid, binding and enforceable in all material respects in accordance with their terms against any Loan Party that is a party thereto or shall be repudiated in writing by any of them, or (ii) (A) cease to create a valid and perfected Lien of the priority required thereby on any of the Collateral purported to be covered thereby, except to the extent that any such loss of perfection or priority results solely from the failure of the Administrative Agent to maintain possession of certificates, promissory notes, instruments or documents delivered to it representing securities and other items pledged under the Loan Documents, or (B) any Relevant Party or any of their Affiliates shall so state in writing.</w:t>
      </w:r>
    </w:p>
    <w:p>
      <w:pPr>
        <w:spacing w:after="0" w:line="183"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(m)An ERISA Event shall have occurred that when together with all other ERISA Events that have occurred, would reasonably be expected to result in liability of the Loan Parties in an aggregate amount exceeding $15,000,000.</w:t>
      </w:r>
    </w:p>
    <w:p>
      <w:pPr>
        <w:spacing w:after="0" w:line="173" w:lineRule="exact"/>
        <w:rPr>
          <w:sz w:val="20"/>
          <w:szCs w:val="20"/>
          <w:color w:val="auto"/>
        </w:rPr>
      </w:pPr>
    </w:p>
    <w:p>
      <w:pPr>
        <w:ind w:left="760" w:right="4039" w:firstLine="749"/>
        <w:spacing w:after="0" w:line="241" w:lineRule="auto"/>
        <w:rPr>
          <w:sz w:val="20"/>
          <w:szCs w:val="20"/>
          <w:color w:val="auto"/>
        </w:rPr>
      </w:pPr>
      <w:r>
        <w:rPr>
          <w:rFonts w:ascii="Times New Roman" w:cs="Times New Roman" w:eastAsia="Times New Roman" w:hAnsi="Times New Roman"/>
          <w:sz w:val="22"/>
          <w:szCs w:val="22"/>
          <w:color w:val="auto"/>
        </w:rPr>
        <w:t xml:space="preserve">(n)A Change in Control shall occur. Section 10.02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right="399" w:firstLine="1498"/>
        <w:spacing w:after="0" w:line="231" w:lineRule="auto"/>
        <w:rPr>
          <w:sz w:val="20"/>
          <w:szCs w:val="20"/>
          <w:color w:val="auto"/>
        </w:rPr>
      </w:pPr>
      <w:r>
        <w:rPr>
          <w:rFonts w:ascii="Times New Roman" w:cs="Times New Roman" w:eastAsia="Times New Roman" w:hAnsi="Times New Roman"/>
          <w:sz w:val="22"/>
          <w:szCs w:val="22"/>
          <w:color w:val="auto"/>
        </w:rPr>
        <w:t xml:space="preserve">(a)In the case of an Event of Default other than one described in </w:t>
      </w:r>
      <w:r>
        <w:rPr>
          <w:rFonts w:ascii="Times New Roman" w:cs="Times New Roman" w:eastAsia="Times New Roman" w:hAnsi="Times New Roman"/>
          <w:sz w:val="22"/>
          <w:szCs w:val="22"/>
          <w:u w:val="single" w:color="auto"/>
          <w:color w:val="auto"/>
        </w:rPr>
        <w:t>Section 10.01(h)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10.01(i)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10.01(j)</w:t>
      </w:r>
      <w:r>
        <w:rPr>
          <w:rFonts w:ascii="Times New Roman" w:cs="Times New Roman" w:eastAsia="Times New Roman" w:hAnsi="Times New Roman"/>
          <w:sz w:val="22"/>
          <w:szCs w:val="22"/>
          <w:color w:val="auto"/>
        </w:rPr>
        <w:t xml:space="preserve">, at any time during the continuance of such Event of Default,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and the Guarantors accrued hereunder and under the Loan Documents (including, without limitation, the payment of Cash Collateral to secure the LC Exposure as provided in </w:t>
      </w:r>
      <w:r>
        <w:rPr>
          <w:rFonts w:ascii="Times New Roman" w:cs="Times New Roman" w:eastAsia="Times New Roman" w:hAnsi="Times New Roman"/>
          <w:sz w:val="22"/>
          <w:szCs w:val="22"/>
          <w:u w:val="single" w:color="auto"/>
          <w:color w:val="auto"/>
        </w:rPr>
        <w:t>Section 2.07(j)</w:t>
      </w:r>
      <w:r>
        <w:rPr>
          <w:rFonts w:ascii="Times New Roman" w:cs="Times New Roman" w:eastAsia="Times New Roman" w:hAnsi="Times New Roman"/>
          <w:sz w:val="22"/>
          <w:szCs w:val="22"/>
          <w:color w:val="auto"/>
        </w:rPr>
        <w:t xml:space="preserve">), shall become due and payable immediately, without presentment, demand, protest, notice of intent to accelerate, notice of acceleration or other notice of any kind, all of which are hereby waived by each Relevant Party; and in case of an Event of Default described in </w:t>
      </w:r>
      <w:r>
        <w:rPr>
          <w:rFonts w:ascii="Times New Roman" w:cs="Times New Roman" w:eastAsia="Times New Roman" w:hAnsi="Times New Roman"/>
          <w:sz w:val="22"/>
          <w:szCs w:val="22"/>
          <w:u w:val="single" w:color="auto"/>
          <w:color w:val="auto"/>
        </w:rPr>
        <w:t>Section 10.01(h), Section 10.01(i)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10.01(j)</w:t>
      </w:r>
      <w:r>
        <w:rPr>
          <w:rFonts w:ascii="Times New Roman" w:cs="Times New Roman" w:eastAsia="Times New Roman" w:hAnsi="Times New Roman"/>
          <w:sz w:val="22"/>
          <w:szCs w:val="22"/>
          <w:color w:val="auto"/>
        </w:rPr>
        <w:t xml:space="preserve">, the Commitments shall automatically terminate and the principal of the Loans then outstanding, together with accrued interest thereon and all fees and the other obligations of the Loan Parties accrued hereunder and the other Loan Documents (including, without limitation, the payment of Cash Collateral to secure the LC Exposure as provided in </w:t>
      </w:r>
      <w:r>
        <w:rPr>
          <w:rFonts w:ascii="Times New Roman" w:cs="Times New Roman" w:eastAsia="Times New Roman" w:hAnsi="Times New Roman"/>
          <w:sz w:val="22"/>
          <w:szCs w:val="22"/>
          <w:u w:val="single" w:color="auto"/>
          <w:color w:val="auto"/>
        </w:rPr>
        <w:t>Section 2.07(j)</w:t>
      </w:r>
      <w:r>
        <w:rPr>
          <w:rFonts w:ascii="Times New Roman" w:cs="Times New Roman" w:eastAsia="Times New Roman" w:hAnsi="Times New Roman"/>
          <w:sz w:val="22"/>
          <w:szCs w:val="22"/>
          <w:color w:val="auto"/>
        </w:rPr>
        <w:t>), shall automatically become due and payable, without presentment, demand, protest, notice of intent to accelerate, notice of acceleration or other notice of any kind, all of which are hereby waived by each Relevant Party.</w:t>
      </w:r>
    </w:p>
    <w:p>
      <w:pPr>
        <w:spacing w:after="0" w:line="183" w:lineRule="exact"/>
        <w:rPr>
          <w:sz w:val="20"/>
          <w:szCs w:val="20"/>
          <w:color w:val="auto"/>
        </w:rPr>
      </w:pPr>
    </w:p>
    <w:p>
      <w:pPr>
        <w:jc w:val="both"/>
        <w:ind w:right="419" w:firstLine="1498"/>
        <w:spacing w:after="0" w:line="243" w:lineRule="auto"/>
        <w:rPr>
          <w:sz w:val="20"/>
          <w:szCs w:val="20"/>
          <w:color w:val="auto"/>
        </w:rPr>
      </w:pPr>
      <w:r>
        <w:rPr>
          <w:rFonts w:ascii="Times New Roman" w:cs="Times New Roman" w:eastAsia="Times New Roman" w:hAnsi="Times New Roman"/>
          <w:sz w:val="22"/>
          <w:szCs w:val="22"/>
          <w:color w:val="auto"/>
        </w:rPr>
        <w:t>(b)In the case of the occurrence of an Event of Default, the Administrative Agent and the Lenders will have all other rights and remedies available at law and equity.</w:t>
      </w:r>
    </w:p>
    <w:p>
      <w:pPr>
        <w:ind w:left="5100"/>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61" w:name="page162"/>
    <w:bookmarkEnd w:id="161"/>
    <w:p>
      <w:pPr>
        <w:ind w:right="399" w:firstLine="1498"/>
        <w:spacing w:after="0" w:line="258" w:lineRule="auto"/>
        <w:rPr>
          <w:sz w:val="20"/>
          <w:szCs w:val="20"/>
          <w:color w:val="auto"/>
        </w:rPr>
      </w:pPr>
      <w:r>
        <w:rPr>
          <w:rFonts w:ascii="Times New Roman" w:cs="Times New Roman" w:eastAsia="Times New Roman" w:hAnsi="Times New Roman"/>
          <w:sz w:val="22"/>
          <w:szCs w:val="22"/>
          <w:color w:val="auto"/>
        </w:rPr>
        <w:t>(c)All proceeds realized from the liquidation or other disposition of Collateral or otherwise received after maturity of the Loans, whether by acceleration or otherwise, shall be applied:</w:t>
      </w:r>
    </w:p>
    <w:p>
      <w:pPr>
        <w:spacing w:after="0" w:line="154" w:lineRule="exact"/>
        <w:rPr>
          <w:sz w:val="20"/>
          <w:szCs w:val="20"/>
          <w:color w:val="auto"/>
        </w:rPr>
      </w:pPr>
    </w:p>
    <w:p>
      <w:pPr>
        <w:ind w:right="399" w:firstLine="2249"/>
        <w:spacing w:after="0" w:line="286" w:lineRule="auto"/>
        <w:tabs>
          <w:tab w:leader="none" w:pos="2621"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to payment or reimbursement of that portion of the Secured Obligations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constituting fees, expenses and indemnities payable to the Administrative Agent in its capacity as such;</w:t>
      </w:r>
    </w:p>
    <w:p>
      <w:pPr>
        <w:spacing w:after="0" w:line="126" w:lineRule="exact"/>
        <w:rPr>
          <w:rFonts w:ascii="Times New Roman" w:cs="Times New Roman" w:eastAsia="Times New Roman" w:hAnsi="Times New Roman"/>
          <w:sz w:val="21"/>
          <w:szCs w:val="21"/>
          <w:color w:val="auto"/>
        </w:rPr>
      </w:pPr>
    </w:p>
    <w:p>
      <w:pPr>
        <w:ind w:left="2620" w:hanging="371"/>
        <w:spacing w:after="0"/>
        <w:tabs>
          <w:tab w:leader="none" w:pos="262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pro rata </w:t>
      </w:r>
      <w:r>
        <w:rPr>
          <w:rFonts w:ascii="Times New Roman" w:cs="Times New Roman" w:eastAsia="Times New Roman" w:hAnsi="Times New Roman"/>
          <w:sz w:val="21"/>
          <w:szCs w:val="21"/>
          <w:color w:val="auto"/>
        </w:rPr>
        <w:t>to payment or reimbursement of that portion of the Secured</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Obligations constituting fees, expenses and indemnities payable to the Lenders;</w:t>
      </w:r>
    </w:p>
    <w:p>
      <w:pPr>
        <w:spacing w:after="0" w:line="178" w:lineRule="exact"/>
        <w:rPr>
          <w:rFonts w:ascii="Times New Roman" w:cs="Times New Roman" w:eastAsia="Times New Roman" w:hAnsi="Times New Roman"/>
          <w:sz w:val="21"/>
          <w:szCs w:val="21"/>
          <w:color w:val="auto"/>
        </w:rPr>
      </w:pPr>
    </w:p>
    <w:p>
      <w:pPr>
        <w:ind w:left="3000" w:hanging="751"/>
        <w:spacing w:after="0"/>
        <w:tabs>
          <w:tab w:leader="none" w:pos="30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to payment of accrued interest on the Loans;</w:t>
      </w:r>
    </w:p>
    <w:p>
      <w:pPr>
        <w:spacing w:after="0" w:line="206" w:lineRule="exact"/>
        <w:rPr>
          <w:rFonts w:ascii="Times New Roman" w:cs="Times New Roman" w:eastAsia="Times New Roman" w:hAnsi="Times New Roman"/>
          <w:sz w:val="22"/>
          <w:szCs w:val="22"/>
          <w:color w:val="auto"/>
        </w:rPr>
      </w:pPr>
    </w:p>
    <w:p>
      <w:pPr>
        <w:jc w:val="both"/>
        <w:ind w:right="399" w:firstLine="2249"/>
        <w:spacing w:after="0" w:line="238" w:lineRule="auto"/>
        <w:tabs>
          <w:tab w:leader="none" w:pos="286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to payment of (A) principal outstanding on the Loans,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Secured Obligations referred to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the definition of the term “Secured Obligations” owing to a Secured Hedging Agreement Counterparty, (C) Secured Obligations referred to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of the definition of the term “Secured Obligations” owing to a Treasury Management Counterparty and (D) any other Secured Obligations;</w:t>
      </w:r>
    </w:p>
    <w:p>
      <w:pPr>
        <w:spacing w:after="0" w:line="176" w:lineRule="exact"/>
        <w:rPr>
          <w:rFonts w:ascii="Times New Roman" w:cs="Times New Roman" w:eastAsia="Times New Roman" w:hAnsi="Times New Roman"/>
          <w:sz w:val="22"/>
          <w:szCs w:val="22"/>
          <w:color w:val="auto"/>
        </w:rPr>
      </w:pPr>
    </w:p>
    <w:p>
      <w:pPr>
        <w:ind w:left="2860" w:hanging="611"/>
        <w:spacing w:after="0"/>
        <w:tabs>
          <w:tab w:leader="none" w:pos="286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to serve as Cash Collateral to be held by the Administrative Agent to</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secure the LC Exposure; and</w:t>
      </w:r>
    </w:p>
    <w:p>
      <w:pPr>
        <w:spacing w:after="0" w:line="178" w:lineRule="exact"/>
        <w:rPr>
          <w:rFonts w:ascii="Times New Roman" w:cs="Times New Roman" w:eastAsia="Times New Roman" w:hAnsi="Times New Roman"/>
          <w:sz w:val="21"/>
          <w:szCs w:val="21"/>
          <w:color w:val="auto"/>
        </w:rPr>
      </w:pPr>
    </w:p>
    <w:p>
      <w:pPr>
        <w:jc w:val="both"/>
        <w:ind w:right="399" w:firstLine="2249"/>
        <w:spacing w:after="0" w:line="246" w:lineRule="auto"/>
        <w:tabs>
          <w:tab w:leader="none" w:pos="290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any excess, after all of the Secured Obligations shall have been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indefeasibly paid in full in cash, shall be paid to the Borrower or as otherwise required by any Governmental Requirement.</w:t>
      </w:r>
    </w:p>
    <w:p>
      <w:pPr>
        <w:spacing w:after="0" w:line="171" w:lineRule="exact"/>
        <w:rPr>
          <w:sz w:val="20"/>
          <w:szCs w:val="20"/>
          <w:color w:val="auto"/>
        </w:rPr>
      </w:pPr>
    </w:p>
    <w:p>
      <w:pPr>
        <w:jc w:val="both"/>
        <w:ind w:right="399"/>
        <w:spacing w:after="0" w:line="246" w:lineRule="auto"/>
        <w:rPr>
          <w:sz w:val="20"/>
          <w:szCs w:val="20"/>
          <w:color w:val="auto"/>
        </w:rPr>
      </w:pPr>
      <w:r>
        <w:rPr>
          <w:rFonts w:ascii="Times New Roman" w:cs="Times New Roman" w:eastAsia="Times New Roman" w:hAnsi="Times New Roman"/>
          <w:sz w:val="21"/>
          <w:szCs w:val="21"/>
          <w:color w:val="auto"/>
        </w:rPr>
        <w:t xml:space="preserve">Notwithstanding the foregoing, amounts received from any Loan Party that is not an “eligible contract participant” under the Commodity Exchange Act shall not be applied to any Excluded Hedging Obligations in respect of such Loan Party (it being understood, that in the event that any amount is applied to Secured Obligations other than Excluded Hedging Obligations as a result of this sentence, the Administrative Agent may make such adjustments as it determines are appropriate to distributions pursuant to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above from amounts received from “eligible contract participants” under the Commodity Exchange Act to ensure, as nearly as possible, that the proportional aggregate recoveries with respect to Secured Obligations described in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above by the holders of any Excluded Hedging Obligations are the same as the proportional aggregate recoveries with respect to other Secured Obligations pursuant to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above).</w:t>
      </w:r>
    </w:p>
    <w:p>
      <w:pPr>
        <w:spacing w:after="0" w:line="17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The Agents</w:t>
      </w:r>
    </w:p>
    <w:p>
      <w:pPr>
        <w:spacing w:after="0" w:line="182"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 xml:space="preserve">Section 11.01 </w:t>
      </w:r>
      <w:r>
        <w:rPr>
          <w:rFonts w:ascii="Times New Roman" w:cs="Times New Roman" w:eastAsia="Times New Roman" w:hAnsi="Times New Roman"/>
          <w:sz w:val="22"/>
          <w:szCs w:val="22"/>
          <w:u w:val="single" w:color="auto"/>
          <w:color w:val="auto"/>
        </w:rPr>
        <w:t>Appointment and Authority</w:t>
      </w:r>
      <w:r>
        <w:rPr>
          <w:rFonts w:ascii="Times New Roman" w:cs="Times New Roman" w:eastAsia="Times New Roman" w:hAnsi="Times New Roman"/>
          <w:sz w:val="22"/>
          <w:szCs w:val="22"/>
          <w:color w:val="auto"/>
        </w:rPr>
        <w:t xml:space="preserve">. Each of the Lenders and the Issuing Bank hereby irrevocably appoints Wells Fargo to act on its behalf as the Administrative Agent hereunder and under the other Loan Documents and authorizes the Administrative Agent to take such actions on its behalf and to exercise such powers as are delegated to the Administrative Agent by the terms hereof and thereof, together with such actions and powers as are reasonably incidental thereto. The provisions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11.06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11.09</w:t>
      </w:r>
      <w:r>
        <w:rPr>
          <w:rFonts w:ascii="Times New Roman" w:cs="Times New Roman" w:eastAsia="Times New Roman" w:hAnsi="Times New Roman"/>
          <w:sz w:val="22"/>
          <w:szCs w:val="22"/>
          <w:color w:val="auto"/>
        </w:rPr>
        <w:t>) are solely for the benefit of the Administrative Agent, the Lenders and the Issuing Bank, and neither the Borrower</w:t>
      </w:r>
    </w:p>
    <w:p>
      <w:pPr>
        <w:spacing w:after="0" w:line="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62" w:name="page163"/>
    <w:bookmarkEnd w:id="162"/>
    <w:p>
      <w:pPr>
        <w:ind w:right="1139"/>
        <w:spacing w:after="0" w:line="258" w:lineRule="auto"/>
        <w:rPr>
          <w:sz w:val="20"/>
          <w:szCs w:val="20"/>
          <w:color w:val="auto"/>
        </w:rPr>
      </w:pPr>
      <w:r>
        <w:rPr>
          <w:rFonts w:ascii="Times New Roman" w:cs="Times New Roman" w:eastAsia="Times New Roman" w:hAnsi="Times New Roman"/>
          <w:sz w:val="22"/>
          <w:szCs w:val="22"/>
          <w:color w:val="auto"/>
        </w:rPr>
        <w:t>nor any other Loan Party or Subsidiary shall have any rights as a third party beneficiary of any such provisions.</w:t>
      </w:r>
    </w:p>
    <w:p>
      <w:pPr>
        <w:spacing w:after="0" w:line="158"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 xml:space="preserve">Section 11.02 </w:t>
      </w:r>
      <w:r>
        <w:rPr>
          <w:rFonts w:ascii="Times New Roman" w:cs="Times New Roman" w:eastAsia="Times New Roman" w:hAnsi="Times New Roman"/>
          <w:sz w:val="22"/>
          <w:szCs w:val="22"/>
          <w:u w:val="single" w:color="auto"/>
          <w:color w:val="auto"/>
        </w:rPr>
        <w:t>Rights as a Lender</w:t>
      </w:r>
      <w:r>
        <w:rPr>
          <w:rFonts w:ascii="Times New Roman" w:cs="Times New Roman" w:eastAsia="Times New Roman" w:hAnsi="Times New Roman"/>
          <w:sz w:val="22"/>
          <w:szCs w:val="22"/>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any other Loan Party or any Subsidiary or other Affiliate thereof as if such Person were not the Administrative Agent hereunder and without any duty to account therefor to the Lenders.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11.03 </w:t>
      </w:r>
      <w:r>
        <w:rPr>
          <w:rFonts w:ascii="Times New Roman" w:cs="Times New Roman" w:eastAsia="Times New Roman" w:hAnsi="Times New Roman"/>
          <w:sz w:val="22"/>
          <w:szCs w:val="22"/>
          <w:u w:val="single" w:color="auto"/>
          <w:color w:val="auto"/>
        </w:rPr>
        <w:t>Exculpatory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(a)The Administrative Agent shall not have any duties or obligations except those expressly set forth herein and in the other Loan Documents. Without limiting the generality of the foregoing, the Administrative Agent:</w:t>
      </w:r>
    </w:p>
    <w:p>
      <w:pPr>
        <w:spacing w:after="0" w:line="173" w:lineRule="exact"/>
        <w:rPr>
          <w:sz w:val="20"/>
          <w:szCs w:val="20"/>
          <w:color w:val="auto"/>
        </w:rPr>
      </w:pPr>
    </w:p>
    <w:p>
      <w:pPr>
        <w:ind w:right="399" w:firstLine="2249"/>
        <w:spacing w:after="0" w:line="258" w:lineRule="auto"/>
        <w:tabs>
          <w:tab w:leader="none" w:pos="262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has occurred and is continuing;</w:t>
      </w:r>
    </w:p>
    <w:p>
      <w:pPr>
        <w:spacing w:after="0" w:line="158" w:lineRule="exact"/>
        <w:rPr>
          <w:rFonts w:ascii="Times New Roman" w:cs="Times New Roman" w:eastAsia="Times New Roman" w:hAnsi="Times New Roman"/>
          <w:sz w:val="22"/>
          <w:szCs w:val="22"/>
          <w:color w:val="auto"/>
        </w:rPr>
      </w:pPr>
    </w:p>
    <w:p>
      <w:pPr>
        <w:jc w:val="both"/>
        <w:ind w:right="399" w:firstLine="2249"/>
        <w:spacing w:after="0" w:line="235" w:lineRule="auto"/>
        <w:tabs>
          <w:tab w:leader="none" w:pos="262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83" w:lineRule="exact"/>
        <w:rPr>
          <w:rFonts w:ascii="Times New Roman" w:cs="Times New Roman" w:eastAsia="Times New Roman" w:hAnsi="Times New Roman"/>
          <w:sz w:val="22"/>
          <w:szCs w:val="22"/>
          <w:color w:val="auto"/>
        </w:rPr>
      </w:pPr>
    </w:p>
    <w:p>
      <w:pPr>
        <w:jc w:val="both"/>
        <w:ind w:right="399" w:firstLine="2249"/>
        <w:spacing w:after="0" w:line="238" w:lineRule="auto"/>
        <w:tabs>
          <w:tab w:leader="none" w:pos="262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and in the other Loan Documents, have any duty to disclose, and shall not be liable for the failure to disclose, any information relating to the Borrower, the other Relevant Parties or any of their respective Affiliates that is communicated to or obtained by the Person serving as the Administrative Agent or any of its Affiliates in any capacity.</w:t>
      </w:r>
    </w:p>
    <w:p>
      <w:pPr>
        <w:spacing w:after="0" w:line="177"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 xml:space="preserve">(b)The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2"/>
          <w:szCs w:val="22"/>
          <w:u w:val="single" w:color="auto"/>
          <w:color w:val="auto"/>
        </w:rPr>
        <w:t>Section 12.02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or (ii) in the absence of its own gross negligence or willful misconduct. The Administrative Agent shall be deemed not to have knowledge of any Default unless and until notice describing such Default is given to the Administrative Agent by the Borrower, a Lender or the Issuing Bank.</w:t>
      </w:r>
    </w:p>
    <w:p>
      <w:pPr>
        <w:spacing w:after="0" w:line="183" w:lineRule="exact"/>
        <w:rPr>
          <w:sz w:val="20"/>
          <w:szCs w:val="20"/>
          <w:color w:val="auto"/>
        </w:rPr>
      </w:pPr>
    </w:p>
    <w:p>
      <w:pPr>
        <w:jc w:val="both"/>
        <w:ind w:right="399" w:firstLine="1498"/>
        <w:spacing w:after="0" w:line="243" w:lineRule="auto"/>
        <w:rPr>
          <w:sz w:val="20"/>
          <w:szCs w:val="20"/>
          <w:color w:val="auto"/>
        </w:rPr>
      </w:pPr>
      <w:r>
        <w:rPr>
          <w:rFonts w:ascii="Times New Roman" w:cs="Times New Roman" w:eastAsia="Times New Roman" w:hAnsi="Times New Roman"/>
          <w:sz w:val="22"/>
          <w:szCs w:val="22"/>
          <w:color w:val="auto"/>
        </w:rPr>
        <w:t>(c)The Administrative Agent shall not be responsible for or have any duty to ascertain or inquire into (i) any statement, warranty or representation made in or in connection</w:t>
      </w:r>
    </w:p>
    <w:p>
      <w:pPr>
        <w:ind w:left="5100"/>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63" w:name="page164"/>
    <w:bookmarkEnd w:id="163"/>
    <w:p>
      <w:pPr>
        <w:jc w:val="both"/>
        <w:ind w:right="399"/>
        <w:spacing w:after="0" w:line="233" w:lineRule="auto"/>
        <w:rPr>
          <w:sz w:val="20"/>
          <w:szCs w:val="20"/>
          <w:color w:val="auto"/>
        </w:rPr>
      </w:pPr>
      <w:r>
        <w:rPr>
          <w:rFonts w:ascii="Times New Roman" w:cs="Times New Roman" w:eastAsia="Times New Roman" w:hAnsi="Times New Roman"/>
          <w:sz w:val="22"/>
          <w:szCs w:val="22"/>
          <w:color w:val="auto"/>
        </w:rPr>
        <w:t xml:space="preserve">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(v) the creation, perfection or priority of any Lien purported to be created by the Security Instruments or the value or sufficiency of any Collateral, (vi) the validity, sufficiency, enforceability or effectiveness of any Loan Document or other agreement, instrument, document or other Communication executed or transmitted in accordance with </w:t>
      </w:r>
      <w:r>
        <w:rPr>
          <w:rFonts w:ascii="Times New Roman" w:cs="Times New Roman" w:eastAsia="Times New Roman" w:hAnsi="Times New Roman"/>
          <w:sz w:val="22"/>
          <w:szCs w:val="22"/>
          <w:u w:val="single" w:color="auto"/>
          <w:color w:val="auto"/>
        </w:rPr>
        <w:t>Section 12.07</w:t>
      </w:r>
      <w:r>
        <w:rPr>
          <w:rFonts w:ascii="Times New Roman" w:cs="Times New Roman" w:eastAsia="Times New Roman" w:hAnsi="Times New Roman"/>
          <w:sz w:val="22"/>
          <w:szCs w:val="22"/>
          <w:color w:val="auto"/>
        </w:rPr>
        <w:t xml:space="preserve"> or</w:t>
      </w:r>
    </w:p>
    <w:p>
      <w:pPr>
        <w:spacing w:after="0" w:line="1" w:lineRule="exact"/>
        <w:rPr>
          <w:sz w:val="20"/>
          <w:szCs w:val="20"/>
          <w:color w:val="auto"/>
        </w:rPr>
      </w:pPr>
    </w:p>
    <w:p>
      <w:pPr>
        <w:jc w:val="both"/>
        <w:ind w:right="399"/>
        <w:spacing w:after="0" w:line="237" w:lineRule="auto"/>
        <w:rPr>
          <w:sz w:val="20"/>
          <w:szCs w:val="20"/>
          <w:color w:val="auto"/>
        </w:rPr>
      </w:pPr>
      <w:r>
        <w:rPr>
          <w:rFonts w:ascii="Times New Roman" w:cs="Times New Roman" w:eastAsia="Times New Roman" w:hAnsi="Times New Roman"/>
          <w:sz w:val="22"/>
          <w:szCs w:val="22"/>
          <w:color w:val="auto"/>
        </w:rPr>
        <w:t xml:space="preserve">(vii)the satisfaction of any condition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or elsewhere herein, other than to confirm receipt of items expressly required to be delivered to the Administrative Agent.</w:t>
      </w:r>
    </w:p>
    <w:p>
      <w:pPr>
        <w:spacing w:after="0" w:line="178"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1"/>
          <w:szCs w:val="21"/>
          <w:color w:val="auto"/>
        </w:rPr>
        <w:t xml:space="preserve">Section 11.04 </w:t>
      </w:r>
      <w:r>
        <w:rPr>
          <w:rFonts w:ascii="Times New Roman" w:cs="Times New Roman" w:eastAsia="Times New Roman" w:hAnsi="Times New Roman"/>
          <w:sz w:val="21"/>
          <w:szCs w:val="21"/>
          <w:u w:val="single" w:color="auto"/>
          <w:color w:val="auto"/>
        </w:rPr>
        <w:t>Reliance by Administrative Agent</w:t>
      </w:r>
      <w:r>
        <w:rPr>
          <w:rFonts w:ascii="Times New Roman" w:cs="Times New Roman" w:eastAsia="Times New Roman" w:hAnsi="Times New Roman"/>
          <w:sz w:val="21"/>
          <w:szCs w:val="21"/>
          <w:color w:val="auto"/>
        </w:rPr>
        <w:t xml:space="preserve">. The Administrative Agent shall be entitled to rely upon, and shall not incur any liability for relying or acting upon, any notice, request, certificate, consent, Communication,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and act upon any statement made to it orally or by telephone and believed by it to have been made by the proper Person, including any certification pursuant to </w:t>
      </w:r>
      <w:r>
        <w:rPr>
          <w:rFonts w:ascii="Times New Roman" w:cs="Times New Roman" w:eastAsia="Times New Roman" w:hAnsi="Times New Roman"/>
          <w:sz w:val="21"/>
          <w:szCs w:val="21"/>
          <w:u w:val="single" w:color="auto"/>
          <w:color w:val="auto"/>
        </w:rPr>
        <w:t>Section 11.09</w:t>
      </w:r>
      <w:r>
        <w:rPr>
          <w:rFonts w:ascii="Times New Roman" w:cs="Times New Roman" w:eastAsia="Times New Roman" w:hAnsi="Times New Roman"/>
          <w:sz w:val="21"/>
          <w:szCs w:val="21"/>
          <w:color w:val="auto"/>
        </w:rPr>
        <w:t xml:space="preserve"> or transmission pursuant to </w:t>
      </w:r>
      <w:r>
        <w:rPr>
          <w:rFonts w:ascii="Times New Roman" w:cs="Times New Roman" w:eastAsia="Times New Roman" w:hAnsi="Times New Roman"/>
          <w:sz w:val="21"/>
          <w:szCs w:val="21"/>
          <w:u w:val="single" w:color="auto"/>
          <w:color w:val="auto"/>
        </w:rPr>
        <w:t>Section 12.07</w:t>
      </w:r>
      <w:r>
        <w:rPr>
          <w:rFonts w:ascii="Times New Roman" w:cs="Times New Roman" w:eastAsia="Times New Roman" w:hAnsi="Times New Roman"/>
          <w:sz w:val="21"/>
          <w:szCs w:val="21"/>
          <w:color w:val="auto"/>
        </w:rPr>
        <w:t>, and shall be fully protected in relying or acting upon such statement or Communication and shall not incur any liability for relying or acting thereon. In determining compliance with any condition hereunder to the making of a Loan, or the issuance of a Letter of Credit, that by its terms must be fulfilled to the satisfaction of a Lender or the Issuing Bank, the Administrative Agent may presume that such condition is satisfactory to such Lender or the Issuing Bank unless the Administrative Agent shall have received notice to the contrary from such Lender or the Issuing Bank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76" w:lineRule="exact"/>
        <w:rPr>
          <w:sz w:val="20"/>
          <w:szCs w:val="20"/>
          <w:color w:val="auto"/>
        </w:rPr>
      </w:pPr>
    </w:p>
    <w:p>
      <w:pPr>
        <w:jc w:val="both"/>
        <w:ind w:right="399" w:firstLine="747"/>
        <w:spacing w:after="0" w:line="235" w:lineRule="auto"/>
        <w:rPr>
          <w:sz w:val="20"/>
          <w:szCs w:val="20"/>
          <w:color w:val="auto"/>
        </w:rPr>
      </w:pPr>
      <w:r>
        <w:rPr>
          <w:rFonts w:ascii="Times New Roman" w:cs="Times New Roman" w:eastAsia="Times New Roman" w:hAnsi="Times New Roman"/>
          <w:sz w:val="22"/>
          <w:szCs w:val="22"/>
          <w:color w:val="auto"/>
        </w:rPr>
        <w:t xml:space="preserve">Section 11.05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78" w:lineRule="exact"/>
        <w:rPr>
          <w:sz w:val="20"/>
          <w:szCs w:val="20"/>
          <w:color w:val="auto"/>
        </w:rPr>
      </w:pPr>
    </w:p>
    <w:p>
      <w:pPr>
        <w:jc w:val="both"/>
        <w:ind w:right="399" w:firstLine="747"/>
        <w:spacing w:after="0" w:line="234" w:lineRule="auto"/>
        <w:rPr>
          <w:sz w:val="20"/>
          <w:szCs w:val="20"/>
          <w:color w:val="auto"/>
        </w:rPr>
      </w:pPr>
      <w:r>
        <w:rPr>
          <w:rFonts w:ascii="Times New Roman" w:cs="Times New Roman" w:eastAsia="Times New Roman" w:hAnsi="Times New Roman"/>
          <w:sz w:val="22"/>
          <w:szCs w:val="22"/>
          <w:color w:val="auto"/>
        </w:rPr>
        <w:t xml:space="preserve">Section 11.06 </w:t>
      </w:r>
      <w:r>
        <w:rPr>
          <w:rFonts w:ascii="Times New Roman" w:cs="Times New Roman" w:eastAsia="Times New Roman" w:hAnsi="Times New Roman"/>
          <w:sz w:val="22"/>
          <w:szCs w:val="22"/>
          <w:u w:val="single" w:color="auto"/>
          <w:color w:val="auto"/>
        </w:rPr>
        <w:t>Resignation of Administrative Agent</w:t>
      </w:r>
      <w:r>
        <w:rPr>
          <w:rFonts w:ascii="Times New Roman" w:cs="Times New Roman" w:eastAsia="Times New Roman" w:hAnsi="Times New Roman"/>
          <w:sz w:val="22"/>
          <w:szCs w:val="22"/>
          <w:color w:val="auto"/>
        </w:rPr>
        <w:t>. The Administrative Agent may at any time give notice of its resignation to the Lenders, the Issuing Bank, and the Borrower. Upon receipt of any such notice of resignation, the Required Lenders shall have the right, in consultation with the Borrower, to appoint a bank as a successor. If no such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 appoint a successor</w:t>
      </w:r>
    </w:p>
    <w:p>
      <w:pPr>
        <w:spacing w:after="0" w:line="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64" w:name="page165"/>
    <w:bookmarkEnd w:id="164"/>
    <w:p>
      <w:pPr>
        <w:jc w:val="both"/>
        <w:ind w:right="399"/>
        <w:spacing w:after="0" w:line="233" w:lineRule="auto"/>
        <w:rPr>
          <w:sz w:val="20"/>
          <w:szCs w:val="20"/>
          <w:color w:val="auto"/>
        </w:rPr>
      </w:pPr>
      <w:r>
        <w:rPr>
          <w:rFonts w:ascii="Times New Roman" w:cs="Times New Roman" w:eastAsia="Times New Roman" w:hAnsi="Times New Roman"/>
          <w:sz w:val="22"/>
          <w:szCs w:val="22"/>
          <w:color w:val="auto"/>
        </w:rPr>
        <w:t xml:space="preserve">Administrative Agent meeting the qualifications set forth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Issuing Bank under any of the Loan Documents, the retiring Administrative Agent shall continue to hold such collateral security until such time as a successor Administrative Agent is appointed) and</w:t>
      </w:r>
    </w:p>
    <w:p>
      <w:pPr>
        <w:spacing w:after="0" w:line="7" w:lineRule="exact"/>
        <w:rPr>
          <w:sz w:val="20"/>
          <w:szCs w:val="20"/>
          <w:color w:val="auto"/>
        </w:rPr>
      </w:pPr>
    </w:p>
    <w:p>
      <w:pPr>
        <w:jc w:val="both"/>
        <w:ind w:right="399" w:firstLine="2"/>
        <w:spacing w:after="0" w:line="231" w:lineRule="auto"/>
        <w:tabs>
          <w:tab w:leader="none" w:pos="38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payments, communications and determinations provided to be made by, to or through the Administrative Agent shall instead be made by or to each Lender and the Issuing Bank directly, until such time as the Required Lenders appoint a successor Administrative Agent as provided for above in this </w:t>
      </w:r>
      <w:r>
        <w:rPr>
          <w:rFonts w:ascii="Times New Roman" w:cs="Times New Roman" w:eastAsia="Times New Roman" w:hAnsi="Times New Roman"/>
          <w:sz w:val="22"/>
          <w:szCs w:val="22"/>
          <w:u w:val="single" w:color="auto"/>
          <w:color w:val="auto"/>
        </w:rPr>
        <w:t>Section 11.06</w:t>
      </w:r>
      <w:r>
        <w:rPr>
          <w:rFonts w:ascii="Times New Roman" w:cs="Times New Roman" w:eastAsia="Times New Roman" w:hAnsi="Times New Roman"/>
          <w:sz w:val="22"/>
          <w:szCs w:val="22"/>
          <w:color w:val="auto"/>
        </w:rPr>
        <w:t xml:space="preserve">.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paragraph);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retiring Administrative Agent shall use its commercially reasonable efforts to deliver any assignments, amendments, instruments or any other documents necessary to assign the Administrative Agent’s security interests under the Security Instruments to the successor Administrative Agent.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12.03</w:t>
      </w:r>
      <w:r>
        <w:rPr>
          <w:rFonts w:ascii="Times New Roman" w:cs="Times New Roman" w:eastAsia="Times New Roman" w:hAnsi="Times New Roman"/>
          <w:sz w:val="22"/>
          <w:szCs w:val="22"/>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84" w:lineRule="exact"/>
        <w:rPr>
          <w:sz w:val="20"/>
          <w:szCs w:val="20"/>
          <w:color w:val="auto"/>
        </w:rPr>
      </w:pPr>
    </w:p>
    <w:p>
      <w:pPr>
        <w:jc w:val="both"/>
        <w:ind w:right="399" w:firstLine="747"/>
        <w:spacing w:after="0" w:line="243" w:lineRule="auto"/>
        <w:rPr>
          <w:sz w:val="20"/>
          <w:szCs w:val="20"/>
          <w:color w:val="auto"/>
        </w:rPr>
      </w:pPr>
      <w:r>
        <w:rPr>
          <w:rFonts w:ascii="Times New Roman" w:cs="Times New Roman" w:eastAsia="Times New Roman" w:hAnsi="Times New Roman"/>
          <w:sz w:val="21"/>
          <w:szCs w:val="21"/>
          <w:color w:val="auto"/>
        </w:rPr>
        <w:t xml:space="preserve">Section 11.07 </w:t>
      </w:r>
      <w:r>
        <w:rPr>
          <w:rFonts w:ascii="Times New Roman" w:cs="Times New Roman" w:eastAsia="Times New Roman" w:hAnsi="Times New Roman"/>
          <w:sz w:val="21"/>
          <w:szCs w:val="21"/>
          <w:u w:val="single" w:color="auto"/>
          <w:color w:val="auto"/>
        </w:rPr>
        <w:t>Non-Reliance on Administrative Agent and Other Lenders</w:t>
      </w:r>
      <w:r>
        <w:rPr>
          <w:rFonts w:ascii="Times New Roman" w:cs="Times New Roman" w:eastAsia="Times New Roman" w:hAnsi="Times New Roman"/>
          <w:sz w:val="21"/>
          <w:szCs w:val="21"/>
          <w:color w:val="auto"/>
        </w:rPr>
        <w:t>. Each Lender and each Issuing Bank expressly acknowledges that none of the Administrative Agent, the Arranger or any of their respective Related Parties has made any representations or warranties to it and that no act taken or failure to act by the Administrative Agent, the Arranger or any of their respective Related Parties, including any consent to, and acceptance of any assignment or review of the affairs of the Borrower and its Subsidiaries or Affiliates shall be deemed to constitute a representation or warranty of the Administrative Agent, the Arranger or any of their respective Related Parties to any Lender, any Issuing Bank or any other Secured Party as to any matter, including whether the Administrative Agent, the Arranger or any of their respective Related Parties have disclosed material information in their (or their respective Related Parties’) possession. Each Lender and each Issuing Bank expressly acknowledges, represents and warrants to the Administrative Agent and the Arranger that (a) the Loan Documents set forth the terms of a commercial lending facility,</w:t>
      </w:r>
    </w:p>
    <w:p>
      <w:pPr>
        <w:spacing w:after="0" w:line="8" w:lineRule="exact"/>
        <w:rPr>
          <w:sz w:val="20"/>
          <w:szCs w:val="20"/>
          <w:color w:val="auto"/>
        </w:rPr>
      </w:pPr>
    </w:p>
    <w:p>
      <w:pPr>
        <w:jc w:val="both"/>
        <w:ind w:right="399" w:firstLine="2"/>
        <w:spacing w:after="0" w:line="230" w:lineRule="auto"/>
        <w:tabs>
          <w:tab w:leader="none" w:pos="307"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investing in the general performance or operations of any Loan Party or its Subsidiaries or Affiliates or for the purpose of making, acquiring, purchasing or holding any other type of financial instrument such as a security, (c) it is sophisticated with respect to decisions to make, acquire, purchase or hold the commercial loans applicable to it and to provide the other facilities</w:t>
      </w:r>
    </w:p>
    <w:p>
      <w:pPr>
        <w:spacing w:after="0" w:line="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48" w:right="1440" w:bottom="1440" w:gutter="0" w:footer="0" w:header="0"/>
        </w:sectPr>
      </w:pPr>
    </w:p>
    <w:bookmarkStart w:id="165" w:name="page166"/>
    <w:bookmarkEnd w:id="165"/>
    <w:p>
      <w:pPr>
        <w:jc w:val="both"/>
        <w:ind w:right="399"/>
        <w:spacing w:after="0" w:line="242" w:lineRule="auto"/>
        <w:rPr>
          <w:sz w:val="20"/>
          <w:szCs w:val="20"/>
          <w:color w:val="auto"/>
        </w:rPr>
      </w:pPr>
      <w:r>
        <w:rPr>
          <w:rFonts w:ascii="Times New Roman" w:cs="Times New Roman" w:eastAsia="Times New Roman" w:hAnsi="Times New Roman"/>
          <w:sz w:val="21"/>
          <w:szCs w:val="21"/>
          <w:color w:val="auto"/>
        </w:rPr>
        <w:t xml:space="preserve">applicable to it as set forth herein and either it or the Person exercising discretion in making its decisions to make, acquire, purchase or hold such commercial loans or to provide such other facilities is, in each case, experienced in making, acquiring, purchasing or holding commercial loans or providing such other facilities, (d) it has, independently and without reliance upon the Administrative Agent, the Arranger,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Borrower and its Subsidiaries, all applicable bank or other regulatory applicable laws relating to the Transactions and the transactions contemplated by this Agreement and the other Loan Documents, (e) it has made its own independent decision to enter into this Agreement and the other Loan Documents to which it is a party and to extend credit hereunder and thereunder and (f) it has all licenses, permits and approvals necessary for use of the reference rates referred to herein that are applicable to the Loans and other extensions of credit required to be made by it hereunder and it will take all actions necessary to comply, preserve, renew and keep in full force and effect any such licenses, permits and approvals. Each Lender and each Issuing Bank also acknowledges and agrees that (i) it will, independently and without reliance upon the Administrative Agent, the Arranger or any other Lender or any of their respective Related Parties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Borrower and its Subsidiaries and (ii) it will not assert any claim under any federal or state securities law or otherwise in contravention of this </w:t>
      </w:r>
      <w:r>
        <w:rPr>
          <w:rFonts w:ascii="Times New Roman" w:cs="Times New Roman" w:eastAsia="Times New Roman" w:hAnsi="Times New Roman"/>
          <w:sz w:val="21"/>
          <w:szCs w:val="21"/>
          <w:u w:val="single" w:color="auto"/>
          <w:color w:val="auto"/>
        </w:rPr>
        <w:t>Section 11.07</w:t>
      </w:r>
      <w:r>
        <w:rPr>
          <w:rFonts w:ascii="Times New Roman" w:cs="Times New Roman" w:eastAsia="Times New Roman" w:hAnsi="Times New Roman"/>
          <w:sz w:val="21"/>
          <w:szCs w:val="21"/>
          <w:color w:val="auto"/>
        </w:rPr>
        <w:t xml:space="preserve">. Each party (including in the case of each Lender, on behalf of itself and its Affiliates that are Secured Parties) acknowledges and agrees that the Administrative Agent may, but shall not be obligated to, from time to time provide payment schedules, payoff statements, payoff letters, interest statements or bills and other similar documentation indicating amounts owed hereunder and under the other Loan Documents and agrees that in the event of the conflict between any such documentation and this Agreement, this Agreement shall control. In the event the Administrative Agent notifies any party hereto at any time (including after the receipt of amounts indicated to be due and payable under the Loan Documents pursuant to such payment schedules, payoff statements, payoff letters, interest statements or bills and other similar documentation) that an amount owed by such party under the Loan Documents was mistakenly excluded from the amount indicated in any payment schedules, payoff statements, payoff letters, interest statements or bills and other similar documentation, then such party agrees to promptly pay such excluded amount after the Administrative Agent provides such party with documentation that evidences such excluded amount is due and payable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sentence shall be deemed to impair any releases of Liens pursuant to </w:t>
      </w:r>
      <w:r>
        <w:rPr>
          <w:rFonts w:ascii="Times New Roman" w:cs="Times New Roman" w:eastAsia="Times New Roman" w:hAnsi="Times New Roman"/>
          <w:sz w:val="21"/>
          <w:szCs w:val="21"/>
          <w:u w:val="single" w:color="auto"/>
          <w:color w:val="auto"/>
        </w:rPr>
        <w:t>Section 11.09(a)(i)</w:t>
      </w:r>
      <w:r>
        <w:rPr>
          <w:rFonts w:ascii="Times New Roman" w:cs="Times New Roman" w:eastAsia="Times New Roman" w:hAnsi="Times New Roman"/>
          <w:sz w:val="21"/>
          <w:szCs w:val="21"/>
          <w:color w:val="auto"/>
        </w:rPr>
        <w:t xml:space="preserve"> or credit support provided by any Loan Party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11.09(a)(iii)</w:t>
      </w:r>
      <w:r>
        <w:rPr>
          <w:rFonts w:ascii="Times New Roman" w:cs="Times New Roman" w:eastAsia="Times New Roman" w:hAnsi="Times New Roman"/>
          <w:sz w:val="21"/>
          <w:szCs w:val="21"/>
          <w:color w:val="auto"/>
        </w:rPr>
        <w:t xml:space="preserve"> or any termination of Commitments, in each case, that has occurred, or is contemplated to occur, upon the receipt by the Administrative Agent of the amounts indicated to be due in respect of the Secured Obligations in the applicable payment schedules, payoff statements, payoff letters, interest statements or bills and other similar documentation.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w:t>
      </w:r>
    </w:p>
    <w:p>
      <w:pPr>
        <w:spacing w:after="0" w:line="24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66" w:name="page167"/>
    <w:bookmarkEnd w:id="166"/>
    <w:p>
      <w:pPr>
        <w:jc w:val="both"/>
        <w:ind w:right="399"/>
        <w:spacing w:after="0" w:line="258" w:lineRule="auto"/>
        <w:rPr>
          <w:sz w:val="20"/>
          <w:szCs w:val="20"/>
          <w:color w:val="auto"/>
        </w:rPr>
      </w:pPr>
      <w:r>
        <w:rPr>
          <w:rFonts w:ascii="Times New Roman" w:cs="Times New Roman" w:eastAsia="Times New Roman" w:hAnsi="Times New Roman"/>
          <w:sz w:val="22"/>
          <w:szCs w:val="22"/>
          <w:color w:val="auto"/>
        </w:rPr>
        <w:t>certificate prepared by any Loan Party in connection therewith, nor shall the Administrative Agent be responsible or liable to the Lenders for any failure to monitor or maintain any portion of the Collateral.</w:t>
      </w:r>
    </w:p>
    <w:p>
      <w:pPr>
        <w:spacing w:after="0" w:line="158" w:lineRule="exact"/>
        <w:rPr>
          <w:sz w:val="20"/>
          <w:szCs w:val="20"/>
          <w:color w:val="auto"/>
        </w:rPr>
      </w:pPr>
    </w:p>
    <w:p>
      <w:pPr>
        <w:jc w:val="both"/>
        <w:ind w:right="399" w:firstLine="747"/>
        <w:spacing w:after="0" w:line="239" w:lineRule="auto"/>
        <w:rPr>
          <w:sz w:val="20"/>
          <w:szCs w:val="20"/>
          <w:color w:val="auto"/>
        </w:rPr>
      </w:pPr>
      <w:r>
        <w:rPr>
          <w:rFonts w:ascii="Times New Roman" w:cs="Times New Roman" w:eastAsia="Times New Roman" w:hAnsi="Times New Roman"/>
          <w:sz w:val="22"/>
          <w:szCs w:val="22"/>
          <w:color w:val="auto"/>
        </w:rPr>
        <w:t xml:space="preserve">Section 11.08 </w:t>
      </w:r>
      <w:r>
        <w:rPr>
          <w:rFonts w:ascii="Times New Roman" w:cs="Times New Roman" w:eastAsia="Times New Roman" w:hAnsi="Times New Roman"/>
          <w:sz w:val="22"/>
          <w:szCs w:val="22"/>
          <w:u w:val="single" w:color="auto"/>
          <w:color w:val="auto"/>
        </w:rPr>
        <w:t>No Other Duties, etc</w:t>
      </w:r>
      <w:r>
        <w:rPr>
          <w:rFonts w:ascii="Times New Roman" w:cs="Times New Roman" w:eastAsia="Times New Roman" w:hAnsi="Times New Roman"/>
          <w:sz w:val="22"/>
          <w:szCs w:val="22"/>
          <w:color w:val="auto"/>
        </w:rPr>
        <w:t>. The Arranger and any other Agent (other the Administrative Agent) shall have no duties, responsibilities or liabilities under this Agreement and the other Loan Documents other than any such other Agents’ duties, responsibilities and liabilities in its capacity as Lender hereunder.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11.09 </w:t>
      </w:r>
      <w:r>
        <w:rPr>
          <w:rFonts w:ascii="Times New Roman" w:cs="Times New Roman" w:eastAsia="Times New Roman" w:hAnsi="Times New Roman"/>
          <w:sz w:val="22"/>
          <w:szCs w:val="22"/>
          <w:u w:val="single" w:color="auto"/>
          <w:color w:val="auto"/>
        </w:rPr>
        <w:t>Authority of Administrative Agent to Release Collateral and Liens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(a)Each Lender (and each other Secured Party by accepting the Liens granted pursuant to the Security Instruments) hereby authorizes the Administrative Agent to take the following actions and the Administrative Agent hereby agrees to take such actions at the request of the Borrower:</w:t>
      </w:r>
    </w:p>
    <w:p>
      <w:pPr>
        <w:spacing w:after="0" w:line="173" w:lineRule="exact"/>
        <w:rPr>
          <w:sz w:val="20"/>
          <w:szCs w:val="20"/>
          <w:color w:val="auto"/>
        </w:rPr>
      </w:pPr>
    </w:p>
    <w:p>
      <w:pPr>
        <w:jc w:val="both"/>
        <w:ind w:right="399" w:firstLine="2249"/>
        <w:spacing w:after="0" w:line="234" w:lineRule="auto"/>
        <w:tabs>
          <w:tab w:leader="none" w:pos="262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release any Lien on any property granted to or held by Administrative Agent under any Loan Document (A) after the Payment in Full of the Secured Obligations, (B) that is, or is to be, sold, released or otherwise disposed of as permitted pursuant to the terms of the Loan Documents, (C) if any Mortgaged Property has a Building or Manufactured (Mobile) Home situated on such Mortgaged Property and the Administrative Agent, in its sole discretion, determines that the costs, financial or otherwise, of obtaining or maintaining a Lien on such Building or Manufactured (Mobile) Home or complying with all Governmental Requirements with respect to such Lien outweigh the benefit to the Secured Parties of the security afforded thereby, or (D) if approved, authorized or ratified in writing by the Required Lenders (or, if approval, authorization or ratification by all Lenders is required under the first proviso in </w:t>
      </w:r>
      <w:r>
        <w:rPr>
          <w:rFonts w:ascii="Times New Roman" w:cs="Times New Roman" w:eastAsia="Times New Roman" w:hAnsi="Times New Roman"/>
          <w:sz w:val="22"/>
          <w:szCs w:val="22"/>
          <w:u w:val="single" w:color="auto"/>
          <w:color w:val="auto"/>
        </w:rPr>
        <w:t>Section 12.02(b)</w:t>
      </w:r>
      <w:r>
        <w:rPr>
          <w:rFonts w:ascii="Times New Roman" w:cs="Times New Roman" w:eastAsia="Times New Roman" w:hAnsi="Times New Roman"/>
          <w:sz w:val="22"/>
          <w:szCs w:val="22"/>
          <w:color w:val="auto"/>
        </w:rPr>
        <w:t>, then by all Lenders);</w:t>
      </w:r>
    </w:p>
    <w:p>
      <w:pPr>
        <w:spacing w:after="0" w:line="179" w:lineRule="exact"/>
        <w:rPr>
          <w:rFonts w:ascii="Times New Roman" w:cs="Times New Roman" w:eastAsia="Times New Roman" w:hAnsi="Times New Roman"/>
          <w:sz w:val="22"/>
          <w:szCs w:val="22"/>
          <w:color w:val="auto"/>
        </w:rPr>
      </w:pPr>
    </w:p>
    <w:p>
      <w:pPr>
        <w:jc w:val="both"/>
        <w:ind w:right="399" w:firstLine="2249"/>
        <w:spacing w:after="0" w:line="244" w:lineRule="auto"/>
        <w:tabs>
          <w:tab w:leader="none" w:pos="262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subordinate (or release) any Lien on any Property granted to or held by the Administrative Agent under any Loan Document to any Lien on such Property that is permitted by Section 9.03(c);</w:t>
      </w:r>
    </w:p>
    <w:p>
      <w:pPr>
        <w:spacing w:after="0" w:line="173" w:lineRule="exact"/>
        <w:rPr>
          <w:rFonts w:ascii="Times New Roman" w:cs="Times New Roman" w:eastAsia="Times New Roman" w:hAnsi="Times New Roman"/>
          <w:sz w:val="22"/>
          <w:szCs w:val="22"/>
          <w:color w:val="auto"/>
        </w:rPr>
      </w:pPr>
    </w:p>
    <w:p>
      <w:pPr>
        <w:jc w:val="both"/>
        <w:ind w:right="399" w:firstLine="2249"/>
        <w:spacing w:after="0" w:line="244" w:lineRule="auto"/>
        <w:tabs>
          <w:tab w:leader="none" w:pos="262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release any Subsidiary that is a Guarantor from its obligations under the Guaranty and Collateral Agreement if such Person ceases to be a Subsidiary as a result of a transaction permitted under the Loan Documents; and</w:t>
      </w:r>
    </w:p>
    <w:p>
      <w:pPr>
        <w:spacing w:after="0" w:line="173" w:lineRule="exact"/>
        <w:rPr>
          <w:rFonts w:ascii="Times New Roman" w:cs="Times New Roman" w:eastAsia="Times New Roman" w:hAnsi="Times New Roman"/>
          <w:sz w:val="22"/>
          <w:szCs w:val="22"/>
          <w:color w:val="auto"/>
        </w:rPr>
      </w:pPr>
    </w:p>
    <w:p>
      <w:pPr>
        <w:jc w:val="both"/>
        <w:ind w:right="399" w:firstLine="2249"/>
        <w:spacing w:after="0" w:line="244" w:lineRule="auto"/>
        <w:tabs>
          <w:tab w:leader="none" w:pos="262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execute and deliver to the Borrower, at the Borrower’s sole cost and expense, any and all releases of Liens, termination statements, assignments or other documents necessary or useful to accomplish or evidence the foregoing.</w:t>
      </w:r>
    </w:p>
    <w:p>
      <w:pPr>
        <w:spacing w:after="0" w:line="173"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(b)Upon the request of the Administrative Agent at any time, the Lenders will confirm in writing the Administrative Agent’s authority to release particular types or items of Collateral, or to release any Guarantor from its obligations under the Guaranty and Collateral Agreement, pursuant to this Section 11.09.</w:t>
      </w:r>
    </w:p>
    <w:p>
      <w:pPr>
        <w:spacing w:after="0" w:line="180"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(c)In connection with any request by the Borrower for the Administrative Agent to release or subordinate any Lien on the Collateral, the Administrative Agent may request, and the Borrower shall deliver, a written certificate of a Responsible Officer of Borrower certifying</w:t>
      </w:r>
    </w:p>
    <w:p>
      <w:pPr>
        <w:spacing w:after="0" w:line="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67" w:name="page168"/>
    <w:bookmarkEnd w:id="167"/>
    <w:p>
      <w:pPr>
        <w:jc w:val="both"/>
        <w:ind w:right="399"/>
        <w:spacing w:after="0" w:line="244" w:lineRule="auto"/>
        <w:rPr>
          <w:sz w:val="20"/>
          <w:szCs w:val="20"/>
          <w:color w:val="auto"/>
        </w:rPr>
      </w:pPr>
      <w:r>
        <w:rPr>
          <w:rFonts w:ascii="Times New Roman" w:cs="Times New Roman" w:eastAsia="Times New Roman" w:hAnsi="Times New Roman"/>
          <w:sz w:val="22"/>
          <w:szCs w:val="22"/>
          <w:color w:val="auto"/>
        </w:rPr>
        <w:t>that the applicable transaction is permitted under the Loan Documents (and the Administrative Agent may rely conclusively on any such certificate without further inquiry and shall have no liability to any Secured Party for any inaccuracy or misrepresentation contained therein).</w:t>
      </w:r>
    </w:p>
    <w:p>
      <w:pPr>
        <w:spacing w:after="0" w:line="173"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(d)Notwithstanding anything contained in any of the Loan Documents to the contrary, no Person other than the Administrative Agent has any right to realize upon any of the Collateral individually, to enforce any Liens on Collateral, or to enforce the Guaranty and Collateral Agreement, and all powers, rights and remedies under the Security Instruments may be exercised solely by Administrative Agent on behalf of the Persons secured or otherwise benefitted thereby.</w:t>
      </w:r>
    </w:p>
    <w:p>
      <w:pPr>
        <w:spacing w:after="0" w:line="177"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(e)Notwithstanding anything contained in any of the Loan Documents to the contrary, the Administrative Agent shall have no duty to investigate or confirm the satisfaction of clauses (c) and (d) of the definition of “Payment in Full” and shall be deemed to not have knowledge of the existence of any Secured Hedging Agreement or Treasury Management Agreement, except to the extent the applicable Secured Hedging Agreement Counterparty or Treasury Management Counterparty, as applicable, has provided written notice thereof to the Administrative Agent. The Administrative Agent may rely conclusively on any certificate of a Responsible Officer of the Borrower certifying as to the satisfaction of clauses (c) and (d) of the definition of “Payment in Full”.</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11.10 </w:t>
      </w:r>
      <w:r>
        <w:rPr>
          <w:rFonts w:ascii="Times New Roman" w:cs="Times New Roman" w:eastAsia="Times New Roman" w:hAnsi="Times New Roman"/>
          <w:sz w:val="22"/>
          <w:szCs w:val="22"/>
          <w:u w:val="single" w:color="auto"/>
          <w:color w:val="auto"/>
        </w:rPr>
        <w:t>Erroneous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1498"/>
        <w:spacing w:after="0" w:line="232" w:lineRule="auto"/>
        <w:rPr>
          <w:sz w:val="20"/>
          <w:szCs w:val="20"/>
          <w:color w:val="auto"/>
        </w:rPr>
      </w:pPr>
      <w:r>
        <w:rPr>
          <w:rFonts w:ascii="Times New Roman" w:cs="Times New Roman" w:eastAsia="Times New Roman" w:hAnsi="Times New Roman"/>
          <w:sz w:val="22"/>
          <w:szCs w:val="22"/>
          <w:color w:val="auto"/>
        </w:rPr>
        <w:t>(a)Each Lender, the Issuing Bank and each other Secured Party hereby severally agrees that if (i) the Administrative Agent notifies (which such notice shall be conclusive absent manifest error) such Lender or the Issuing Bank or any other Secured Party (or the Affiliate of a Secured Party), either for its own account or on behalf of a Lender, the Issuing Bank or any other Secured Party (each such recipient, a “</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w:t>
      </w:r>
    </w:p>
    <w:p>
      <w:pPr>
        <w:spacing w:after="0" w:line="4" w:lineRule="exact"/>
        <w:rPr>
          <w:sz w:val="20"/>
          <w:szCs w:val="20"/>
          <w:color w:val="auto"/>
        </w:rPr>
      </w:pPr>
    </w:p>
    <w:p>
      <w:pPr>
        <w:jc w:val="both"/>
        <w:ind w:right="399" w:firstLine="2"/>
        <w:spacing w:after="0" w:line="241" w:lineRule="auto"/>
        <w:tabs>
          <w:tab w:leader="none" w:pos="34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that such Payment Recipient otherwise becomes aware was transmitted or received in error or by mistake (in whole or in part) then, in each case, an error in payment shall be presumed to have been made (any such amounts specified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11.10(a),</w:t>
      </w:r>
      <w:r>
        <w:rPr>
          <w:rFonts w:ascii="Times New Roman" w:cs="Times New Roman" w:eastAsia="Times New Roman" w:hAnsi="Times New Roman"/>
          <w:sz w:val="21"/>
          <w:szCs w:val="21"/>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w:t>
      </w:r>
    </w:p>
    <w:p>
      <w:pPr>
        <w:spacing w:after="0" w:line="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68" w:name="page169"/>
    <w:bookmarkEnd w:id="168"/>
    <w:p>
      <w:pPr>
        <w:ind w:right="1459"/>
        <w:spacing w:after="0" w:line="282" w:lineRule="auto"/>
        <w:rPr>
          <w:sz w:val="20"/>
          <w:szCs w:val="20"/>
          <w:color w:val="auto"/>
        </w:rPr>
      </w:pPr>
      <w:r>
        <w:rPr>
          <w:rFonts w:ascii="Times New Roman" w:cs="Times New Roman" w:eastAsia="Times New Roman" w:hAnsi="Times New Roman"/>
          <w:sz w:val="21"/>
          <w:szCs w:val="21"/>
          <w:color w:val="auto"/>
        </w:rPr>
        <w:t>counterclaim by the Administrative Agent for the return of any Erroneous Payments, including without limitation waiver of any defense based on “discharge for value” or any similar doctrine.</w:t>
      </w:r>
    </w:p>
    <w:p>
      <w:pPr>
        <w:spacing w:after="0" w:line="135"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 xml:space="preserve">(b)Without limiting the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each Payment Recipient agrees that, in the case of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above, it shall promptly notify the Administrative Agent in writing of such occurrence.</w:t>
      </w:r>
    </w:p>
    <w:p>
      <w:pPr>
        <w:spacing w:after="0" w:line="173"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 xml:space="preserve">(c)In the case of either </w:t>
      </w:r>
      <w:r>
        <w:rPr>
          <w:rFonts w:ascii="Times New Roman" w:cs="Times New Roman" w:eastAsia="Times New Roman" w:hAnsi="Times New Roman"/>
          <w:sz w:val="22"/>
          <w:szCs w:val="22"/>
          <w:u w:val="single" w:color="auto"/>
          <w:color w:val="auto"/>
        </w:rPr>
        <w:t>clause (a)(i)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spacing w:after="0" w:line="17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1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12.01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1498"/>
        <w:spacing w:after="0" w:line="239"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xml:space="preserve">. Except in the case of notices and other communications expressly permitted to be given by telephone or other electronic transmission (and subject to </w:t>
      </w:r>
      <w:r>
        <w:rPr>
          <w:rFonts w:ascii="Times New Roman" w:cs="Times New Roman" w:eastAsia="Times New Roman" w:hAnsi="Times New Roman"/>
          <w:sz w:val="22"/>
          <w:szCs w:val="22"/>
          <w:u w:val="single" w:color="auto"/>
          <w:color w:val="auto"/>
        </w:rPr>
        <w:t>Section 12.01(b)</w:t>
      </w:r>
      <w:r>
        <w:rPr>
          <w:rFonts w:ascii="Times New Roman" w:cs="Times New Roman" w:eastAsia="Times New Roman" w:hAnsi="Times New Roman"/>
          <w:sz w:val="22"/>
          <w:szCs w:val="22"/>
          <w:color w:val="auto"/>
        </w:rPr>
        <w:t>), all notices and other communications provided for herein shall be in writing and shall be delivered by hand or overnight courier service, mailed by certified or registered mail or sent by facsimile, as follows:</w:t>
      </w:r>
    </w:p>
    <w:p>
      <w:pPr>
        <w:spacing w:after="0" w:line="180" w:lineRule="exact"/>
        <w:rPr>
          <w:sz w:val="20"/>
          <w:szCs w:val="20"/>
          <w:color w:val="auto"/>
        </w:rPr>
      </w:pPr>
    </w:p>
    <w:p>
      <w:pPr>
        <w:ind w:left="3000" w:hanging="751"/>
        <w:spacing w:after="0"/>
        <w:tabs>
          <w:tab w:leader="none" w:pos="30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 to it at the following:</w:t>
      </w:r>
    </w:p>
    <w:p>
      <w:pPr>
        <w:spacing w:after="0" w:line="206" w:lineRule="exact"/>
        <w:rPr>
          <w:rFonts w:ascii="Times New Roman" w:cs="Times New Roman" w:eastAsia="Times New Roman" w:hAnsi="Times New Roman"/>
          <w:sz w:val="22"/>
          <w:szCs w:val="22"/>
          <w:color w:val="auto"/>
        </w:rPr>
      </w:pPr>
    </w:p>
    <w:p>
      <w:pPr>
        <w:ind w:left="3000" w:right="4179"/>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Pinnacle Gas Services LLC c/o Comstock Resources, Inc.</w:t>
      </w:r>
    </w:p>
    <w:p>
      <w:pPr>
        <w:ind w:left="3000" w:right="275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5300 Town and Country Boulevard, Suite 500 Frisco, TX 75034</w:t>
      </w:r>
    </w:p>
    <w:p>
      <w:pPr>
        <w:spacing w:after="0" w:line="1" w:lineRule="exact"/>
        <w:rPr>
          <w:rFonts w:ascii="Times New Roman" w:cs="Times New Roman" w:eastAsia="Times New Roman" w:hAnsi="Times New Roman"/>
          <w:sz w:val="22"/>
          <w:szCs w:val="22"/>
          <w:color w:val="auto"/>
        </w:rPr>
      </w:pPr>
    </w:p>
    <w:p>
      <w:pPr>
        <w:ind w:left="3000" w:right="463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Roland Burns Email: rob@crkfrisco.com</w:t>
      </w:r>
    </w:p>
    <w:p>
      <w:pPr>
        <w:spacing w:after="0" w:line="204" w:lineRule="exact"/>
        <w:rPr>
          <w:rFonts w:ascii="Times New Roman" w:cs="Times New Roman" w:eastAsia="Times New Roman" w:hAnsi="Times New Roman"/>
          <w:sz w:val="22"/>
          <w:szCs w:val="22"/>
          <w:color w:val="auto"/>
        </w:rPr>
      </w:pPr>
    </w:p>
    <w:p>
      <w:pPr>
        <w:ind w:left="3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a copy to (which shall not constitute notice):</w:t>
      </w:r>
    </w:p>
    <w:p>
      <w:pPr>
        <w:spacing w:after="0" w:line="233" w:lineRule="exact"/>
        <w:rPr>
          <w:rFonts w:ascii="Times New Roman" w:cs="Times New Roman" w:eastAsia="Times New Roman" w:hAnsi="Times New Roman"/>
          <w:sz w:val="22"/>
          <w:szCs w:val="22"/>
          <w:color w:val="auto"/>
        </w:rPr>
      </w:pPr>
    </w:p>
    <w:p>
      <w:pPr>
        <w:ind w:left="3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O’Melveny &amp; Myers LLP</w:t>
      </w:r>
    </w:p>
    <w:p>
      <w:pPr>
        <w:spacing w:after="0" w:line="14" w:lineRule="exact"/>
        <w:rPr>
          <w:rFonts w:ascii="Times New Roman" w:cs="Times New Roman" w:eastAsia="Times New Roman" w:hAnsi="Times New Roman"/>
          <w:sz w:val="22"/>
          <w:szCs w:val="22"/>
          <w:color w:val="auto"/>
        </w:rPr>
      </w:pPr>
    </w:p>
    <w:p>
      <w:pPr>
        <w:ind w:left="3000" w:right="397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2501 N Harwood St, Suite 1700 Dallas, TX 75201</w:t>
      </w:r>
    </w:p>
    <w:p>
      <w:pPr>
        <w:spacing w:after="0" w:line="1" w:lineRule="exact"/>
        <w:rPr>
          <w:rFonts w:ascii="Times New Roman" w:cs="Times New Roman" w:eastAsia="Times New Roman" w:hAnsi="Times New Roman"/>
          <w:sz w:val="22"/>
          <w:szCs w:val="22"/>
          <w:color w:val="auto"/>
        </w:rPr>
      </w:pPr>
    </w:p>
    <w:p>
      <w:pPr>
        <w:ind w:left="30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Jack E. Jacobsen, Esq.</w:t>
      </w:r>
    </w:p>
    <w:p>
      <w:pPr>
        <w:ind w:left="3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jjacobsen@omm.com</w:t>
      </w:r>
    </w:p>
    <w:p>
      <w:pPr>
        <w:spacing w:after="0" w:line="209" w:lineRule="exact"/>
        <w:rPr>
          <w:rFonts w:ascii="Times New Roman" w:cs="Times New Roman" w:eastAsia="Times New Roman" w:hAnsi="Times New Roman"/>
          <w:sz w:val="22"/>
          <w:szCs w:val="22"/>
          <w:color w:val="auto"/>
        </w:rPr>
      </w:pPr>
    </w:p>
    <w:p>
      <w:pPr>
        <w:ind w:left="3000" w:hanging="751"/>
        <w:spacing w:after="0"/>
        <w:tabs>
          <w:tab w:leader="none" w:pos="30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or the Issuing Bank, to it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1904365</wp:posOffset>
            </wp:positionH>
            <wp:positionV relativeFrom="paragraph">
              <wp:posOffset>-1557020</wp:posOffset>
            </wp:positionV>
            <wp:extent cx="10668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1066800" cy="8890"/>
                    </a:xfrm>
                    <a:prstGeom prst="rect">
                      <a:avLst/>
                    </a:prstGeom>
                    <a:noFill/>
                  </pic:spPr>
                </pic:pic>
              </a:graphicData>
            </a:graphic>
          </wp:anchor>
        </w:drawing>
        <w:drawing>
          <wp:anchor simplePos="0" relativeHeight="251657728" behindDoc="1" locked="0" layoutInCell="0" allowOverlap="1">
            <wp:simplePos x="0" y="0"/>
            <wp:positionH relativeFrom="column">
              <wp:posOffset>2304415</wp:posOffset>
            </wp:positionH>
            <wp:positionV relativeFrom="paragraph">
              <wp:posOffset>-322580</wp:posOffset>
            </wp:positionV>
            <wp:extent cx="11969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11969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following:</w:t>
      </w:r>
    </w:p>
    <w:p>
      <w:pPr>
        <w:ind w:left="5100"/>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69" w:name="page170"/>
    <w:bookmarkEnd w:id="169"/>
    <w:p>
      <w:pPr>
        <w:ind w:left="3000"/>
        <w:spacing w:after="0"/>
        <w:rPr>
          <w:sz w:val="20"/>
          <w:szCs w:val="20"/>
          <w:color w:val="auto"/>
        </w:rPr>
      </w:pPr>
      <w:r>
        <w:rPr>
          <w:rFonts w:ascii="Times New Roman" w:cs="Times New Roman" w:eastAsia="Times New Roman" w:hAnsi="Times New Roman"/>
          <w:sz w:val="22"/>
          <w:szCs w:val="22"/>
          <w:color w:val="auto"/>
        </w:rPr>
        <w:t>Wells Fargo Bank, N.A.</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1700 Lincoln Street, 12th Floor</w:t>
      </w:r>
    </w:p>
    <w:p>
      <w:pPr>
        <w:ind w:left="3000"/>
        <w:spacing w:after="0" w:line="230" w:lineRule="auto"/>
        <w:rPr>
          <w:sz w:val="20"/>
          <w:szCs w:val="20"/>
          <w:color w:val="auto"/>
        </w:rPr>
      </w:pPr>
      <w:r>
        <w:rPr>
          <w:rFonts w:ascii="Times New Roman" w:cs="Times New Roman" w:eastAsia="Times New Roman" w:hAnsi="Times New Roman"/>
          <w:sz w:val="22"/>
          <w:szCs w:val="22"/>
          <w:color w:val="auto"/>
        </w:rPr>
        <w:t>MAC: C7300-128</w:t>
      </w:r>
    </w:p>
    <w:p>
      <w:pPr>
        <w:ind w:left="3000"/>
        <w:spacing w:after="0" w:line="231" w:lineRule="auto"/>
        <w:rPr>
          <w:sz w:val="20"/>
          <w:szCs w:val="20"/>
          <w:color w:val="auto"/>
        </w:rPr>
      </w:pPr>
      <w:r>
        <w:rPr>
          <w:rFonts w:ascii="Times New Roman" w:cs="Times New Roman" w:eastAsia="Times New Roman" w:hAnsi="Times New Roman"/>
          <w:sz w:val="22"/>
          <w:szCs w:val="22"/>
          <w:color w:val="auto"/>
        </w:rPr>
        <w:t>Denver, CO 80203</w:t>
      </w:r>
    </w:p>
    <w:p>
      <w:pPr>
        <w:ind w:left="3000"/>
        <w:spacing w:after="0" w:line="230" w:lineRule="auto"/>
        <w:tabs>
          <w:tab w:leader="none" w:pos="384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Jonathan Herrick</w:t>
      </w:r>
    </w:p>
    <w:p>
      <w:pPr>
        <w:ind w:left="3000"/>
        <w:spacing w:after="0" w:line="231" w:lineRule="auto"/>
        <w:rPr>
          <w:sz w:val="20"/>
          <w:szCs w:val="20"/>
          <w:color w:val="auto"/>
        </w:rPr>
      </w:pPr>
      <w:r>
        <w:rPr>
          <w:rFonts w:ascii="Times New Roman" w:cs="Times New Roman" w:eastAsia="Times New Roman" w:hAnsi="Times New Roman"/>
          <w:sz w:val="22"/>
          <w:szCs w:val="22"/>
          <w:color w:val="auto"/>
        </w:rPr>
        <w:t>Email: jonathan.herrick@wellsfargo.com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-22860</wp:posOffset>
            </wp:positionV>
            <wp:extent cx="187071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ind w:left="3000"/>
        <w:spacing w:after="0" w:line="230" w:lineRule="auto"/>
        <w:rPr>
          <w:sz w:val="20"/>
          <w:szCs w:val="20"/>
          <w:color w:val="auto"/>
        </w:rPr>
      </w:pPr>
      <w:r>
        <w:rPr>
          <w:rFonts w:ascii="Times New Roman" w:cs="Times New Roman" w:eastAsia="Times New Roman" w:hAnsi="Times New Roman"/>
          <w:sz w:val="22"/>
          <w:szCs w:val="22"/>
          <w:color w:val="auto"/>
        </w:rPr>
        <w:t>copy to:</w:t>
      </w:r>
    </w:p>
    <w:p>
      <w:pPr>
        <w:ind w:left="3000"/>
        <w:spacing w:after="0" w:line="231" w:lineRule="auto"/>
        <w:rPr>
          <w:sz w:val="20"/>
          <w:szCs w:val="20"/>
          <w:color w:val="auto"/>
        </w:rPr>
      </w:pPr>
      <w:r>
        <w:rPr>
          <w:rFonts w:ascii="Times New Roman" w:cs="Times New Roman" w:eastAsia="Times New Roman" w:hAnsi="Times New Roman"/>
          <w:sz w:val="22"/>
          <w:szCs w:val="22"/>
          <w:color w:val="auto"/>
        </w:rPr>
        <w:t>Wells Fargo Bank, N.A.</w:t>
      </w:r>
    </w:p>
    <w:p>
      <w:pPr>
        <w:ind w:left="3000"/>
        <w:spacing w:after="0" w:line="230" w:lineRule="auto"/>
        <w:rPr>
          <w:sz w:val="20"/>
          <w:szCs w:val="20"/>
          <w:color w:val="auto"/>
        </w:rPr>
      </w:pPr>
      <w:r>
        <w:rPr>
          <w:rFonts w:ascii="Times New Roman" w:cs="Times New Roman" w:eastAsia="Times New Roman" w:hAnsi="Times New Roman"/>
          <w:sz w:val="22"/>
          <w:szCs w:val="22"/>
          <w:color w:val="auto"/>
        </w:rPr>
        <w:t>1525 W. WT Harris Blvd.</w:t>
      </w:r>
    </w:p>
    <w:p>
      <w:pPr>
        <w:ind w:left="3000"/>
        <w:spacing w:after="0" w:line="231" w:lineRule="auto"/>
        <w:rPr>
          <w:sz w:val="20"/>
          <w:szCs w:val="20"/>
          <w:color w:val="auto"/>
        </w:rPr>
      </w:pPr>
      <w:r>
        <w:rPr>
          <w:rFonts w:ascii="Times New Roman" w:cs="Times New Roman" w:eastAsia="Times New Roman" w:hAnsi="Times New Roman"/>
          <w:sz w:val="22"/>
          <w:szCs w:val="22"/>
          <w:color w:val="auto"/>
        </w:rPr>
        <w:t>MAC: D1109-019</w:t>
      </w:r>
    </w:p>
    <w:p>
      <w:pPr>
        <w:ind w:left="3000"/>
        <w:spacing w:after="0" w:line="230" w:lineRule="auto"/>
        <w:rPr>
          <w:sz w:val="20"/>
          <w:szCs w:val="20"/>
          <w:color w:val="auto"/>
        </w:rPr>
      </w:pPr>
      <w:r>
        <w:rPr>
          <w:rFonts w:ascii="Times New Roman" w:cs="Times New Roman" w:eastAsia="Times New Roman" w:hAnsi="Times New Roman"/>
          <w:sz w:val="22"/>
          <w:szCs w:val="22"/>
          <w:color w:val="auto"/>
        </w:rPr>
        <w:t>Charlotte, NC 28262</w:t>
      </w:r>
    </w:p>
    <w:p>
      <w:pPr>
        <w:ind w:left="3000"/>
        <w:spacing w:after="0" w:line="231" w:lineRule="auto"/>
        <w:tabs>
          <w:tab w:leader="none" w:pos="384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Agency</w:t>
      </w:r>
    </w:p>
    <w:p>
      <w:pPr>
        <w:ind w:left="3000"/>
        <w:spacing w:after="0" w:line="230" w:lineRule="auto"/>
        <w:rPr>
          <w:sz w:val="20"/>
          <w:szCs w:val="20"/>
          <w:color w:val="auto"/>
        </w:rPr>
      </w:pPr>
      <w:r>
        <w:rPr>
          <w:rFonts w:ascii="Times New Roman" w:cs="Times New Roman" w:eastAsia="Times New Roman" w:hAnsi="Times New Roman"/>
          <w:sz w:val="22"/>
          <w:szCs w:val="22"/>
          <w:color w:val="auto"/>
        </w:rPr>
        <w:t>Services Fax: (844)</w:t>
      </w:r>
    </w:p>
    <w:p>
      <w:pPr>
        <w:ind w:left="3000"/>
        <w:spacing w:after="0" w:line="231" w:lineRule="auto"/>
        <w:rPr>
          <w:sz w:val="20"/>
          <w:szCs w:val="20"/>
          <w:color w:val="auto"/>
        </w:rPr>
      </w:pPr>
      <w:r>
        <w:rPr>
          <w:rFonts w:ascii="Times New Roman" w:cs="Times New Roman" w:eastAsia="Times New Roman" w:hAnsi="Times New Roman"/>
          <w:sz w:val="22"/>
          <w:szCs w:val="22"/>
          <w:color w:val="auto"/>
        </w:rPr>
        <w:t>879-5899</w:t>
      </w:r>
    </w:p>
    <w:p>
      <w:pPr>
        <w:ind w:left="3000"/>
        <w:spacing w:after="0"/>
        <w:rPr>
          <w:sz w:val="20"/>
          <w:szCs w:val="20"/>
          <w:color w:val="auto"/>
        </w:rPr>
      </w:pPr>
      <w:r>
        <w:rPr>
          <w:rFonts w:ascii="Times New Roman" w:cs="Times New Roman" w:eastAsia="Times New Roman" w:hAnsi="Times New Roman"/>
          <w:sz w:val="22"/>
          <w:szCs w:val="22"/>
          <w:color w:val="auto"/>
        </w:rPr>
        <w:t>Email: agencyservices.requests@wellsfargo.com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-29210</wp:posOffset>
            </wp:positionV>
            <wp:extent cx="228981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2289810" cy="8255"/>
                    </a:xfrm>
                    <a:prstGeom prst="rect">
                      <a:avLst/>
                    </a:prstGeom>
                    <a:noFill/>
                  </pic:spPr>
                </pic:pic>
              </a:graphicData>
            </a:graphic>
          </wp:anchor>
        </w:drawing>
      </w:r>
    </w:p>
    <w:p>
      <w:pPr>
        <w:ind w:left="30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Paul Hastings LLP</w:t>
      </w:r>
    </w:p>
    <w:p>
      <w:pPr>
        <w:ind w:left="3000"/>
        <w:spacing w:after="0" w:line="233" w:lineRule="auto"/>
        <w:rPr>
          <w:sz w:val="20"/>
          <w:szCs w:val="20"/>
          <w:color w:val="auto"/>
        </w:rPr>
      </w:pPr>
      <w:r>
        <w:rPr>
          <w:rFonts w:ascii="Times New Roman" w:cs="Times New Roman" w:eastAsia="Times New Roman" w:hAnsi="Times New Roman"/>
          <w:sz w:val="22"/>
          <w:szCs w:val="22"/>
          <w:color w:val="auto"/>
        </w:rPr>
        <w:t>2001 Ross Avenue, Suite 2700</w:t>
      </w:r>
    </w:p>
    <w:p>
      <w:pPr>
        <w:ind w:left="3000"/>
        <w:spacing w:after="0" w:line="231" w:lineRule="auto"/>
        <w:rPr>
          <w:sz w:val="20"/>
          <w:szCs w:val="20"/>
          <w:color w:val="auto"/>
        </w:rPr>
      </w:pPr>
      <w:r>
        <w:rPr>
          <w:rFonts w:ascii="Times New Roman" w:cs="Times New Roman" w:eastAsia="Times New Roman" w:hAnsi="Times New Roman"/>
          <w:sz w:val="22"/>
          <w:szCs w:val="22"/>
          <w:color w:val="auto"/>
        </w:rPr>
        <w:t>Dallas, TX 75201</w:t>
      </w:r>
    </w:p>
    <w:p>
      <w:pPr>
        <w:ind w:left="3000"/>
        <w:spacing w:after="0" w:line="230" w:lineRule="auto"/>
        <w:tabs>
          <w:tab w:leader="none" w:pos="384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Erec</w:t>
      </w:r>
    </w:p>
    <w:p>
      <w:pPr>
        <w:ind w:left="3000"/>
        <w:spacing w:after="0" w:line="231" w:lineRule="auto"/>
        <w:rPr>
          <w:sz w:val="20"/>
          <w:szCs w:val="20"/>
          <w:color w:val="auto"/>
        </w:rPr>
      </w:pPr>
      <w:r>
        <w:rPr>
          <w:rFonts w:ascii="Times New Roman" w:cs="Times New Roman" w:eastAsia="Times New Roman" w:hAnsi="Times New Roman"/>
          <w:sz w:val="22"/>
          <w:szCs w:val="22"/>
          <w:color w:val="auto"/>
        </w:rPr>
        <w:t>Winandy</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Email: erecwinandy@paulhastings.com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-29210</wp:posOffset>
            </wp:positionV>
            <wp:extent cx="17830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2" w:lineRule="exact"/>
        <w:rPr>
          <w:sz w:val="20"/>
          <w:szCs w:val="20"/>
          <w:color w:val="auto"/>
        </w:rPr>
      </w:pPr>
    </w:p>
    <w:p>
      <w:pPr>
        <w:jc w:val="both"/>
        <w:ind w:right="399" w:firstLine="2249"/>
        <w:spacing w:after="0" w:line="244" w:lineRule="auto"/>
        <w:tabs>
          <w:tab w:leader="none" w:pos="262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it at its address (or facsimile number) set forth in its Administrative Questionnaire (or, in the case of notices to any such Lender by a Loan Party, to any address (or facsimile number) that such Lender has provided to the Borrower).</w:t>
      </w:r>
    </w:p>
    <w:p>
      <w:pPr>
        <w:spacing w:after="0" w:line="173" w:lineRule="exact"/>
        <w:rPr>
          <w:sz w:val="20"/>
          <w:szCs w:val="20"/>
          <w:color w:val="auto"/>
        </w:rPr>
      </w:pPr>
    </w:p>
    <w:p>
      <w:pPr>
        <w:jc w:val="both"/>
        <w:ind w:right="399"/>
        <w:spacing w:after="0" w:line="236" w:lineRule="auto"/>
        <w:rPr>
          <w:sz w:val="20"/>
          <w:szCs w:val="20"/>
          <w:color w:val="auto"/>
        </w:rPr>
      </w:pPr>
      <w:r>
        <w:rPr>
          <w:rFonts w:ascii="Times New Roman" w:cs="Times New Roman" w:eastAsia="Times New Roman" w:hAnsi="Times New Roman"/>
          <w:sz w:val="22"/>
          <w:szCs w:val="22"/>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permitted to be delivered through electronic communications to the extent provided in </w:t>
      </w:r>
      <w:r>
        <w:rPr>
          <w:rFonts w:ascii="Times New Roman" w:cs="Times New Roman" w:eastAsia="Times New Roman" w:hAnsi="Times New Roman"/>
          <w:sz w:val="22"/>
          <w:szCs w:val="22"/>
          <w:u w:val="single" w:color="auto"/>
          <w:color w:val="auto"/>
        </w:rPr>
        <w:t>Section 12.01(b)</w:t>
      </w:r>
      <w:r>
        <w:rPr>
          <w:rFonts w:ascii="Times New Roman" w:cs="Times New Roman" w:eastAsia="Times New Roman" w:hAnsi="Times New Roman"/>
          <w:sz w:val="22"/>
          <w:szCs w:val="22"/>
          <w:color w:val="auto"/>
        </w:rPr>
        <w:t xml:space="preserve"> below, shall be effective as provided in </w:t>
      </w:r>
      <w:r>
        <w:rPr>
          <w:rFonts w:ascii="Times New Roman" w:cs="Times New Roman" w:eastAsia="Times New Roman" w:hAnsi="Times New Roman"/>
          <w:sz w:val="22"/>
          <w:szCs w:val="22"/>
          <w:u w:val="single" w:color="auto"/>
          <w:color w:val="auto"/>
        </w:rPr>
        <w:t>Section 12.01(b)</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2240" w:hanging="740"/>
        <w:spacing w:after="0"/>
        <w:tabs>
          <w:tab w:leader="none" w:pos="224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399" w:firstLine="2249"/>
        <w:spacing w:after="0" w:line="233" w:lineRule="auto"/>
        <w:tabs>
          <w:tab w:leader="none" w:pos="262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to the Lenders and the Issuing Bank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apply to notices to any Lender or the Issuing Bank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unless otherwise agreed by the Administrative Agent and the applicable Lender or the Issuing Bank. The Administrative Agent or the Borrower may, in its discretion, agree to accept notices and other communications to it hereunder by electronic communications pursuant to procedures approved by it or them;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70" w:name="page171"/>
    <w:bookmarkEnd w:id="170"/>
    <w:p>
      <w:pPr>
        <w:jc w:val="both"/>
        <w:ind w:right="399" w:firstLine="2249"/>
        <w:spacing w:after="0" w:line="234" w:lineRule="auto"/>
        <w:tabs>
          <w:tab w:leader="none" w:pos="262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Administrative Agent otherwise prescribes, (A) notices and other communications that are permitted to be delivered via an e-mail address shall be deemed received either upon actual receipt thereof or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such notice or other communication is not sent during the normal business hours of the recipient, such notice or communication shall be deemed to have been sent at the opening of business on the next business day for the recipient, and (B) notices or communications that are permitted to be delivered by posting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notification that such notice or communication is available and identifying the website address therefore.</w:t>
      </w:r>
    </w:p>
    <w:p>
      <w:pPr>
        <w:spacing w:after="0" w:line="179" w:lineRule="exact"/>
        <w:rPr>
          <w:sz w:val="20"/>
          <w:szCs w:val="20"/>
          <w:color w:val="auto"/>
        </w:rPr>
      </w:pPr>
    </w:p>
    <w:p>
      <w:pPr>
        <w:ind w:right="399" w:firstLine="1498"/>
        <w:spacing w:after="0" w:line="25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Any party hereto may change its address or facsimile number for notices and other communications hereunder by notice to the other parties hereto.</w:t>
      </w:r>
    </w:p>
    <w:p>
      <w:pPr>
        <w:spacing w:after="0" w:line="158" w:lineRule="exact"/>
        <w:rPr>
          <w:sz w:val="20"/>
          <w:szCs w:val="20"/>
          <w:color w:val="auto"/>
        </w:rPr>
      </w:pPr>
    </w:p>
    <w:p>
      <w:pPr>
        <w:ind w:left="2240" w:hanging="740"/>
        <w:spacing w:after="0"/>
        <w:tabs>
          <w:tab w:leader="none" w:pos="224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399" w:firstLine="2249"/>
        <w:spacing w:after="0" w:line="244" w:lineRule="auto"/>
        <w:tabs>
          <w:tab w:leader="none" w:pos="2621"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each Lender and the Issuing Bank agrees that the Administrative Agent may, but shall not be obligated to, make the Borrower Materials available to the Issuing Bank and the other Lenders by posting the Borrower Materials on the Platform.</w:t>
      </w:r>
    </w:p>
    <w:p>
      <w:pPr>
        <w:spacing w:after="0" w:line="173" w:lineRule="exact"/>
        <w:rPr>
          <w:rFonts w:ascii="Times New Roman" w:cs="Times New Roman" w:eastAsia="Times New Roman" w:hAnsi="Times New Roman"/>
          <w:sz w:val="22"/>
          <w:szCs w:val="22"/>
          <w:color w:val="auto"/>
        </w:rPr>
      </w:pPr>
    </w:p>
    <w:p>
      <w:pPr>
        <w:jc w:val="both"/>
        <w:ind w:right="399" w:firstLine="2249"/>
        <w:spacing w:after="0" w:line="231" w:lineRule="auto"/>
        <w:tabs>
          <w:tab w:leader="none" w:pos="2621"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any warranty of merchantability, fitness for a particular purpose, non-infringement of third-party rights or freedom from viruses or other code defects, is made by any Agent Party in connection with the Borrower Materials or the Platform. Although the Platform is secured pursuant to generally-applicable security procedures and policies implemented or modified by the Administrative Agent and its Related Parties, each of the Lenders, the Issuing Bank and the Borrower acknowledges and agrees that distribution of information through an electronic means is not necessarily secure in all respects, the Administrative Agent, the Arranger and their respective Related Parties (collectively, the “</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xml:space="preserve">”) are not responsible for approving or vetting the representatives, designees or contacts of any Lender or Issuing Bank that are provided access to the Platform and that there may be confidentiality and other risks associated with such form of distribution. Each of the Borrower, each Lender and the Issuing Bank party hereto understands and accepts such risks. In no event shall the Agent Parties have any liability to any Loan Party, any Lender or any other Person or entity for losses, claims, damages, liabilities or expenses of any kind (whether in tort, contract or otherwise) arising out of any Loan Party’s or the Administrative Agent’s transmission of communications through the Internet (including the Platform), except to the extent that such losses, claims, damages, liabilities or expenses are determined by a court of competent jurisdiction by final and non-appealable judgment to have resulted from the gross negligence or willful misconduct of such Agent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Agent Party have any liability to any Loan Party, any Lender, the Issuing Bank or any other Person for indirect, special, incidental, consequential or punitive damages, losses or expenses (as opposed to actual damages, losses or expenses).</w:t>
      </w:r>
    </w:p>
    <w:p>
      <w:pPr>
        <w:spacing w:after="0" w:line="1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71" w:name="page172"/>
    <w:bookmarkEnd w:id="171"/>
    <w:p>
      <w:pPr>
        <w:ind w:left="760"/>
        <w:spacing w:after="0"/>
        <w:rPr>
          <w:sz w:val="20"/>
          <w:szCs w:val="20"/>
          <w:color w:val="auto"/>
        </w:rPr>
      </w:pPr>
      <w:r>
        <w:rPr>
          <w:rFonts w:ascii="Times New Roman" w:cs="Times New Roman" w:eastAsia="Times New Roman" w:hAnsi="Times New Roman"/>
          <w:sz w:val="22"/>
          <w:szCs w:val="22"/>
          <w:color w:val="auto"/>
        </w:rPr>
        <w:t xml:space="preserve">Section 12.02 </w:t>
      </w:r>
      <w:r>
        <w:rPr>
          <w:rFonts w:ascii="Times New Roman" w:cs="Times New Roman" w:eastAsia="Times New Roman" w:hAnsi="Times New Roman"/>
          <w:sz w:val="22"/>
          <w:szCs w:val="22"/>
          <w:u w:val="single" w:color="auto"/>
          <w:color w:val="auto"/>
        </w:rPr>
        <w:t>Waivers; Amendments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1"/>
          <w:szCs w:val="21"/>
          <w:color w:val="auto"/>
        </w:rPr>
        <w:t xml:space="preserve">(a)No failure on the part of the Administrative Agent, the Issuing Bank or any Lender to exercise and no delay in exercising, and no course of dealing with respect to, any right, power or privilege, or any abandonment or discontinuance of steps to enforce such right, power or privilege, under any of the Loan Documents shall operate as a waiver thereof, nor shall any single or partial exercise of any right, power or privilege under any of the Loan Documents preclude any other or further exercise thereof or the exercise of any other right, power or privilege. The rights and remedies of the Administrative Agent, the Issuing Bank and the Lenders hereunder and under the other Loan Documents are cumulative and are not exclusive of any rights or remedies that they would otherwise have. No waiver of any provision of this Agreement or any other Loan Document or consent to any departure by the Borrower, or any other Loan Party therefrom shall in any event be effective unless the same shall be permitted by </w:t>
      </w:r>
      <w:r>
        <w:rPr>
          <w:rFonts w:ascii="Times New Roman" w:cs="Times New Roman" w:eastAsia="Times New Roman" w:hAnsi="Times New Roman"/>
          <w:sz w:val="21"/>
          <w:szCs w:val="21"/>
          <w:u w:val="single" w:color="auto"/>
          <w:color w:val="auto"/>
        </w:rPr>
        <w:t>Section 12.02(b)</w:t>
      </w:r>
      <w:r>
        <w:rPr>
          <w:rFonts w:ascii="Times New Roman" w:cs="Times New Roman" w:eastAsia="Times New Roman" w:hAnsi="Times New Roman"/>
          <w:sz w:val="21"/>
          <w:szCs w:val="21"/>
          <w:color w:val="auto"/>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81" w:lineRule="exact"/>
        <w:rPr>
          <w:sz w:val="20"/>
          <w:szCs w:val="20"/>
          <w:color w:val="auto"/>
        </w:rPr>
      </w:pPr>
    </w:p>
    <w:p>
      <w:pPr>
        <w:jc w:val="both"/>
        <w:ind w:right="399" w:firstLine="1498"/>
        <w:spacing w:after="0" w:line="243" w:lineRule="auto"/>
        <w:rPr>
          <w:sz w:val="20"/>
          <w:szCs w:val="20"/>
          <w:color w:val="auto"/>
        </w:rPr>
      </w:pPr>
      <w:r>
        <w:rPr>
          <w:rFonts w:ascii="Times New Roman" w:cs="Times New Roman" w:eastAsia="Times New Roman" w:hAnsi="Times New Roman"/>
          <w:sz w:val="21"/>
          <w:szCs w:val="21"/>
          <w:color w:val="auto"/>
        </w:rPr>
        <w:t xml:space="preserve">(b)Neither this Agreement nor any provision hereof nor any Security Instrument nor any provision thereof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agreement shall (i) increase the Commitment of any Lender without the written consent of such Lender, (ii) reduce the principal amount of any Loan or LC Disbursement or reduce the rate of interest thereon (except for the waiver of default interest and modification of financial covenants (or defined terms used therein)), or reduce any fees payable hereunder, or reduce any other Secured Obligations hereunder or under any other Loan Document, without the written consent of each Lender adversely affected thereby, (iii) postpone the scheduled date of payment (except with respect to mandatory prepayments required pursuant to </w:t>
      </w:r>
      <w:r>
        <w:rPr>
          <w:rFonts w:ascii="Times New Roman" w:cs="Times New Roman" w:eastAsia="Times New Roman" w:hAnsi="Times New Roman"/>
          <w:sz w:val="21"/>
          <w:szCs w:val="21"/>
          <w:u w:val="single" w:color="auto"/>
          <w:color w:val="auto"/>
        </w:rPr>
        <w:t>Sections 3.04(b)(ii)-(iv)</w:t>
      </w:r>
      <w:r>
        <w:rPr>
          <w:rFonts w:ascii="Times New Roman" w:cs="Times New Roman" w:eastAsia="Times New Roman" w:hAnsi="Times New Roman"/>
          <w:sz w:val="21"/>
          <w:szCs w:val="21"/>
          <w:color w:val="auto"/>
        </w:rPr>
        <w:t>) of the principal amount of any Loan or LC Disbursement, or any interest thereon, or any fees payable hereunder, or any other Secured Obligations hereunder or under any other Loan Document, or reduce the amount of, waive or excuse any such payment, or postpone or extend the Termination Date or Maturity Date without the written consent of each Lender adversely affected thereby, (iv) (A) except as expressly permitted pursuant to the Loan Documents, release any Guarantor or release all or substantially all of the Collateral,</w:t>
      </w:r>
    </w:p>
    <w:p>
      <w:pPr>
        <w:spacing w:after="0" w:line="1" w:lineRule="exact"/>
        <w:rPr>
          <w:sz w:val="20"/>
          <w:szCs w:val="20"/>
          <w:color w:val="auto"/>
        </w:rPr>
      </w:pPr>
    </w:p>
    <w:p>
      <w:pPr>
        <w:jc w:val="both"/>
        <w:ind w:right="399" w:firstLine="2"/>
        <w:spacing w:after="0" w:line="230" w:lineRule="auto"/>
        <w:tabs>
          <w:tab w:leader="none" w:pos="38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 any of the Secured Obligations owed to the Lenders in right of payment to any other Indebtedness or otherwise adversely affect the priority of payment of any of such Secured Obligations or</w:t>
      </w:r>
    </w:p>
    <w:p>
      <w:pPr>
        <w:spacing w:after="0" w:line="1" w:lineRule="exact"/>
        <w:rPr>
          <w:rFonts w:ascii="Times New Roman" w:cs="Times New Roman" w:eastAsia="Times New Roman" w:hAnsi="Times New Roman"/>
          <w:sz w:val="22"/>
          <w:szCs w:val="22"/>
          <w:color w:val="auto"/>
        </w:rPr>
      </w:pPr>
    </w:p>
    <w:p>
      <w:pPr>
        <w:jc w:val="both"/>
        <w:ind w:right="399" w:firstLine="2"/>
        <w:spacing w:after="0" w:line="241" w:lineRule="auto"/>
        <w:tabs>
          <w:tab w:leader="none" w:pos="343"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subordinate any of the Liens securing the Secured Obligations owed to the Lenders (except as otherwise set forth in </w:t>
      </w:r>
      <w:r>
        <w:rPr>
          <w:rFonts w:ascii="Times New Roman" w:cs="Times New Roman" w:eastAsia="Times New Roman" w:hAnsi="Times New Roman"/>
          <w:sz w:val="21"/>
          <w:szCs w:val="21"/>
          <w:u w:val="single" w:color="auto"/>
          <w:color w:val="auto"/>
        </w:rPr>
        <w:t>Section 11.09</w:t>
      </w:r>
      <w:r>
        <w:rPr>
          <w:rFonts w:ascii="Times New Roman" w:cs="Times New Roman" w:eastAsia="Times New Roman" w:hAnsi="Times New Roman"/>
          <w:sz w:val="21"/>
          <w:szCs w:val="21"/>
          <w:color w:val="auto"/>
        </w:rPr>
        <w:t xml:space="preserve">), in each case under this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without the written consent of each Lender,</w:t>
      </w:r>
    </w:p>
    <w:p>
      <w:pPr>
        <w:spacing w:after="0" w:line="1" w:lineRule="exact"/>
        <w:rPr>
          <w:rFonts w:ascii="Times New Roman" w:cs="Times New Roman" w:eastAsia="Times New Roman" w:hAnsi="Times New Roman"/>
          <w:sz w:val="21"/>
          <w:szCs w:val="21"/>
          <w:color w:val="auto"/>
        </w:rPr>
      </w:pPr>
    </w:p>
    <w:p>
      <w:pPr>
        <w:jc w:val="both"/>
        <w:ind w:right="399"/>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(v) amend, modify, or waive any provisions of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3.04(b)(v)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10.02(c)</w:t>
      </w:r>
      <w:r>
        <w:rPr>
          <w:rFonts w:ascii="Times New Roman" w:cs="Times New Roman" w:eastAsia="Times New Roman" w:hAnsi="Times New Roman"/>
          <w:sz w:val="22"/>
          <w:szCs w:val="22"/>
          <w:color w:val="auto"/>
        </w:rPr>
        <w:t xml:space="preserve"> (or amend any other term of the Loan Documents that would have the effect of changing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3.04(b)(v)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10.02(c)</w:t>
      </w:r>
      <w:r>
        <w:rPr>
          <w:rFonts w:ascii="Times New Roman" w:cs="Times New Roman" w:eastAsia="Times New Roman" w:hAnsi="Times New Roman"/>
          <w:sz w:val="22"/>
          <w:szCs w:val="22"/>
          <w:color w:val="auto"/>
        </w:rPr>
        <w:t xml:space="preserve">) in any manner that would alter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sharing or order of application of payments required thereby or the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rata </w:t>
      </w:r>
      <w:r>
        <w:rPr>
          <w:rFonts w:ascii="Times New Roman" w:cs="Times New Roman" w:eastAsia="Times New Roman" w:hAnsi="Times New Roman"/>
          <w:sz w:val="22"/>
          <w:szCs w:val="22"/>
          <w:color w:val="auto"/>
        </w:rPr>
        <w:t>reduction of Commitments required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2.06(c)</w:t>
      </w:r>
      <w:r>
        <w:rPr>
          <w:rFonts w:ascii="Times New Roman" w:cs="Times New Roman" w:eastAsia="Times New Roman" w:hAnsi="Times New Roman"/>
          <w:sz w:val="22"/>
          <w:szCs w:val="22"/>
          <w:color w:val="auto"/>
        </w:rPr>
        <w:t>, in each case, without the written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consent of each Lender adversely affected thereby, or (vi) change any of the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12.02(b)</w:t>
      </w:r>
      <w:r>
        <w:rPr>
          <w:rFonts w:ascii="Times New Roman" w:cs="Times New Roman" w:eastAsia="Times New Roman" w:hAnsi="Times New Roman"/>
          <w:sz w:val="22"/>
          <w:szCs w:val="22"/>
          <w:color w:val="auto"/>
        </w:rPr>
        <w:t xml:space="preserve"> or the definitions of “Required Lenders”</w:t>
      </w:r>
    </w:p>
    <w:p>
      <w:pPr>
        <w:spacing w:after="0" w:line="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72" w:name="page173"/>
    <w:bookmarkEnd w:id="172"/>
    <w:p>
      <w:pPr>
        <w:jc w:val="both"/>
        <w:ind w:right="399"/>
        <w:spacing w:after="0" w:line="242" w:lineRule="auto"/>
        <w:rPr>
          <w:sz w:val="20"/>
          <w:szCs w:val="20"/>
          <w:color w:val="auto"/>
        </w:rPr>
      </w:pPr>
      <w:r>
        <w:rPr>
          <w:rFonts w:ascii="Times New Roman" w:cs="Times New Roman" w:eastAsia="Times New Roman" w:hAnsi="Times New Roman"/>
          <w:sz w:val="21"/>
          <w:szCs w:val="21"/>
          <w:color w:val="auto"/>
        </w:rPr>
        <w:t xml:space="preserve">or any other provision hereof specifying the number or percentage of Lenders required to waive, amend or modify any rights hereunder or under any other Loan Documents or make any determination or grant any consent hereunder or any other Loan Documents, without the written consent of each affected Lender; </w:t>
      </w:r>
      <w:r>
        <w:rPr>
          <w:rFonts w:ascii="Times New Roman" w:cs="Times New Roman" w:eastAsia="Times New Roman" w:hAnsi="Times New Roman"/>
          <w:sz w:val="21"/>
          <w:szCs w:val="21"/>
          <w:i w:val="1"/>
          <w:iCs w:val="1"/>
          <w:color w:val="auto"/>
        </w:rPr>
        <w:t xml:space="preserve">provided further </w:t>
      </w:r>
      <w:r>
        <w:rPr>
          <w:rFonts w:ascii="Times New Roman" w:cs="Times New Roman" w:eastAsia="Times New Roman" w:hAnsi="Times New Roman"/>
          <w:sz w:val="21"/>
          <w:szCs w:val="21"/>
          <w:color w:val="auto"/>
        </w:rPr>
        <w:t>that no such agreement shall amend, modify or otherwise affect the rights or duties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Administrative Agent, any other Agent, or the Issuing Bank hereunder or under any other Loan Document without the prior written consent of the Administrative Agent, such other Agent or the Issuing Bank, as the case may be. Notwithstanding the foregoing, (A) any supplement to </w:t>
      </w:r>
      <w:r>
        <w:rPr>
          <w:rFonts w:ascii="Times New Roman" w:cs="Times New Roman" w:eastAsia="Times New Roman" w:hAnsi="Times New Roman"/>
          <w:sz w:val="21"/>
          <w:szCs w:val="21"/>
          <w:u w:val="single" w:color="auto"/>
          <w:color w:val="auto"/>
        </w:rPr>
        <w:t>Schedule 7.14</w:t>
      </w:r>
      <w:r>
        <w:rPr>
          <w:rFonts w:ascii="Times New Roman" w:cs="Times New Roman" w:eastAsia="Times New Roman" w:hAnsi="Times New Roman"/>
          <w:sz w:val="21"/>
          <w:szCs w:val="21"/>
          <w:color w:val="auto"/>
        </w:rPr>
        <w:t xml:space="preserve"> (Subsidiaries) shall be effective simply by delivering to the Administrative Agent a supplemental schedule clearly marked as such and, upon receipt, the Administrative Agent will promptly deliver a copy thereof to the Lenders, (B) the Borrower (or other applicable Loan Party) and the Administrative Agent may amend this Agreement or any other Loan Document without the consent of the Lenders in order to correct, amend or cure any manifest ambiguity, inconsistency or defect, or to correct any typographical error or other manifest error, in any Loan Document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Administrative Agent shall provide a copy of any such amendment to the Lenders promptly after the effectiveness thereof), (C) the Administrative Agent and the Borrower (or other applicable Loan Party) may enter into any amendment, modification or waiver of this Agreement or any other Loan Document or enter into any agreement or instrument to add additional Guarantors as contemplated in </w:t>
      </w:r>
      <w:r>
        <w:rPr>
          <w:rFonts w:ascii="Times New Roman" w:cs="Times New Roman" w:eastAsia="Times New Roman" w:hAnsi="Times New Roman"/>
          <w:sz w:val="21"/>
          <w:szCs w:val="21"/>
          <w:u w:val="single" w:color="auto"/>
          <w:color w:val="auto"/>
        </w:rPr>
        <w:t>Section 8.14(a)</w:t>
      </w:r>
      <w:r>
        <w:rPr>
          <w:rFonts w:ascii="Times New Roman" w:cs="Times New Roman" w:eastAsia="Times New Roman" w:hAnsi="Times New Roman"/>
          <w:sz w:val="21"/>
          <w:szCs w:val="21"/>
          <w:color w:val="auto"/>
        </w:rPr>
        <w:t xml:space="preserve"> or to effect the granting, perfection, protection, expansion or enhancement of any security interest in any Collateral or Property to become Collateral to secure the Secured Obligations for the benefit of the Secured Parties or as required by any Governmental Requirement to give effect to, protect or otherwise enhance the rights or benefits of any Lender under the Loan Documents without the consent of any Lender, (D) the Administrative Agent, the Borrower, and the applicable increasing Lenders and/or Additional Lenders, as the case may be, may enter into any amendment, modification or waiver of this Agreement to the extent necessary to effect an increase of the Commitments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2.06(d)</w:t>
      </w:r>
      <w:r>
        <w:rPr>
          <w:rFonts w:ascii="Times New Roman" w:cs="Times New Roman" w:eastAsia="Times New Roman" w:hAnsi="Times New Roman"/>
          <w:sz w:val="21"/>
          <w:szCs w:val="21"/>
          <w:color w:val="auto"/>
        </w:rPr>
        <w:t xml:space="preserve">, and (E) the Administrative Agent may, without the consent of any Lender, enter into amendments or modifications to this Agreement or any of the other Loan Documents or enter into additional Loan Documents as the Administrative Agent reasonably deems appropriate in order to implement any Replacement Rate or otherwise effectuate the terms of </w:t>
      </w:r>
      <w:r>
        <w:rPr>
          <w:rFonts w:ascii="Times New Roman" w:cs="Times New Roman" w:eastAsia="Times New Roman" w:hAnsi="Times New Roman"/>
          <w:sz w:val="21"/>
          <w:szCs w:val="21"/>
          <w:u w:val="single" w:color="auto"/>
          <w:color w:val="auto"/>
        </w:rPr>
        <w:t>Section 3.03(b)</w:t>
      </w:r>
      <w:r>
        <w:rPr>
          <w:rFonts w:ascii="Times New Roman" w:cs="Times New Roman" w:eastAsia="Times New Roman" w:hAnsi="Times New Roman"/>
          <w:sz w:val="21"/>
          <w:szCs w:val="21"/>
          <w:color w:val="auto"/>
        </w:rPr>
        <w:t xml:space="preserve"> in accordance with the terms of </w:t>
      </w:r>
      <w:r>
        <w:rPr>
          <w:rFonts w:ascii="Times New Roman" w:cs="Times New Roman" w:eastAsia="Times New Roman" w:hAnsi="Times New Roman"/>
          <w:sz w:val="21"/>
          <w:szCs w:val="21"/>
          <w:u w:val="single" w:color="auto"/>
          <w:color w:val="auto"/>
        </w:rPr>
        <w:t>Section 3.03(b)</w:t>
      </w:r>
      <w:r>
        <w:rPr>
          <w:rFonts w:ascii="Times New Roman" w:cs="Times New Roman" w:eastAsia="Times New Roman" w:hAnsi="Times New Roman"/>
          <w:sz w:val="21"/>
          <w:szCs w:val="21"/>
          <w:color w:val="auto"/>
        </w:rPr>
        <w:t>. Notwithstanding anything to the contrary herein, no Defaulting Lender shall have any right to approve or disapprove any amendment, waiver or consent hereunder, except that (A) the Commitment of such Lender may not be increased or extended without the consent of such Lender, and (B) any amendment, waiver, or consent hereunder which requires the consent of all Lenders or each affected Lender that by its terms disproportionately and adversely affects any such Defaulting Lender relative to other affected Lenders shall require the consent of such Defaulting Lender.</w:t>
      </w:r>
    </w:p>
    <w:p>
      <w:pPr>
        <w:spacing w:after="0" w:line="200" w:lineRule="exact"/>
        <w:rPr>
          <w:sz w:val="20"/>
          <w:szCs w:val="20"/>
          <w:color w:val="auto"/>
        </w:rPr>
      </w:pP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12.03 </w:t>
      </w:r>
      <w:r>
        <w:rPr>
          <w:rFonts w:ascii="Times New Roman" w:cs="Times New Roman" w:eastAsia="Times New Roman" w:hAnsi="Times New Roman"/>
          <w:sz w:val="22"/>
          <w:szCs w:val="22"/>
          <w:u w:val="single" w:color="auto"/>
          <w:color w:val="auto"/>
        </w:rPr>
        <w:t>Expenses, Indemnity; Damage Waiver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1498"/>
        <w:spacing w:after="0" w:line="245"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Costs and Expenses</w:t>
      </w:r>
      <w:r>
        <w:rPr>
          <w:rFonts w:ascii="Times New Roman" w:cs="Times New Roman" w:eastAsia="Times New Roman" w:hAnsi="Times New Roman"/>
          <w:sz w:val="21"/>
          <w:szCs w:val="21"/>
          <w:color w:val="auto"/>
        </w:rPr>
        <w:t>. The Borrower shall pay (i) all reasonable and documented out-of-pocket expenses incurred by the Administrative Agent and its Affiliates, including, without limitation, the reasonable and documented out-of-pocket fees, charges and disbursements of outside consultants of the Administrative Agent and its Affiliates, taken as a whole (limited, in the case of legal counsel, to one firm of primary legal counsel for the Administrative Agent and one firm of local counsel as reasonably necessary in any relevant jurisdiction ) the reasonable and documented out-of-pocket travel, photocopy, mailing, courier, telephone and other similar expenses, and the cost of environmental assessments, audits and</w:t>
      </w:r>
    </w:p>
    <w:p>
      <w:pPr>
        <w:spacing w:after="0" w:line="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73" w:name="page174"/>
    <w:bookmarkEnd w:id="173"/>
    <w:p>
      <w:pPr>
        <w:jc w:val="both"/>
        <w:ind w:right="399"/>
        <w:spacing w:after="0" w:line="243" w:lineRule="auto"/>
        <w:rPr>
          <w:sz w:val="20"/>
          <w:szCs w:val="20"/>
          <w:color w:val="auto"/>
        </w:rPr>
      </w:pPr>
      <w:r>
        <w:rPr>
          <w:rFonts w:ascii="Times New Roman" w:cs="Times New Roman" w:eastAsia="Times New Roman" w:hAnsi="Times New Roman"/>
          <w:sz w:val="21"/>
          <w:szCs w:val="21"/>
          <w:color w:val="auto"/>
        </w:rPr>
        <w:t xml:space="preserve">surveys and appraisals, in connection with the syndication of the credit facilities provided for herein, the preparation, negotiation, execution, delivery and administration (both before and after the execution hereof and including advice of counsel to the Administrative Agent as to the rights and duties of the Administrative Agent and the Lenders with respect thereto) of this Agreement and the other Loan Documents and any amendments, modifications or waivers of or consents related to the provisions hereof or thereof (whether or not the transactions contemplated hereby or thereby shall be consummated), (ii) all costs, expenses, Taxes, assessments and other charges incurred by the Administrative Agent or any Lender in connection with any filing, registration, recording or perfection of any security interest contemplated by this Agreement or any Security Instrument or any other document referred to therein, (iii) all reasonable and documented out-of-pocket expenses incurred by any Issuing Bank in connection with the issuance, amendment, renewal or extension of any Letter of Credit or any demand for payment thereunder, (iv) all documented (in summary form) out-of-pocket expenses incurred by the Administrative Agent, the Issuing Banks or any Lender, including the reasonable fees, charges and disbursements of any counsel for the Administrative Agent, any Issuing Bank or any Lender, in connection with the enforcement or protection of its rights in connection with this Agreement or any other Loan Document, including its rights under this </w:t>
      </w:r>
      <w:r>
        <w:rPr>
          <w:rFonts w:ascii="Times New Roman" w:cs="Times New Roman" w:eastAsia="Times New Roman" w:hAnsi="Times New Roman"/>
          <w:sz w:val="21"/>
          <w:szCs w:val="21"/>
          <w:u w:val="single" w:color="auto"/>
          <w:color w:val="auto"/>
        </w:rPr>
        <w:t>Section 12.03</w:t>
      </w:r>
      <w:r>
        <w:rPr>
          <w:rFonts w:ascii="Times New Roman" w:cs="Times New Roman" w:eastAsia="Times New Roman" w:hAnsi="Times New Roman"/>
          <w:sz w:val="21"/>
          <w:szCs w:val="21"/>
          <w:color w:val="auto"/>
        </w:rPr>
        <w:t>, or in connection with the Loans made or Letters of Credit issued hereunder, including, without limitation, all such documented (in summary form) out-of-pocket expenses incurred during any workout, restructuring or negotiations in respect of such Loans or Letters of Credit.</w:t>
      </w:r>
    </w:p>
    <w:p>
      <w:pPr>
        <w:spacing w:after="0" w:line="189" w:lineRule="exact"/>
        <w:rPr>
          <w:sz w:val="20"/>
          <w:szCs w:val="20"/>
          <w:color w:val="auto"/>
        </w:rPr>
      </w:pPr>
    </w:p>
    <w:p>
      <w:pPr>
        <w:jc w:val="both"/>
        <w:ind w:right="399" w:firstLine="1498"/>
        <w:spacing w:after="0" w:line="242"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u w:val="single" w:color="auto"/>
          <w:color w:val="auto"/>
        </w:rPr>
        <w:t>INDEMNIFICATION BY THE BORROWER</w:t>
      </w:r>
      <w:r>
        <w:rPr>
          <w:rFonts w:ascii="Times New Roman" w:cs="Times New Roman" w:eastAsia="Times New Roman" w:hAnsi="Times New Roman"/>
          <w:sz w:val="21"/>
          <w:szCs w:val="21"/>
          <w:color w:val="auto"/>
        </w:rPr>
        <w:t>. THE BORROWER SHALL INDEMNIFY THE ADMINISTRATIVE AGENT, EACH ISSUING BANK AND EACH LENDER, AND EACH RELATED PARTY OF ANY OF THE FOREGOING PERSONS (EACH SUCH PERSON BEING CALLED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AGAINST, AND HOLD EACH INDEMNITEE HARMLESS FROM, ANY AND ALL LOSSES, CLAIMS, DAMAGES, LIABILITIES AND RELATED EXPENSES, LIMITED, IN THE CASE OF LEGAL COUNSEL, TO THE REASONABLE AND DOCUMENTED OUT-OF-POCKET FEES, CHARGES AND DISBURSEMENTS OF ONE FIRM OF LEGAL COUNSEL FOR ALL INDEMNITEES, TAKEN AS A WHOLE (AND, IF NECESSARY, ONE FIRM OF LOCAL COUNSEL IN EACH APPROPRIATE JURISDICTION FOR ALL INDEMNITEES, TAKEN AS A WHOLE (AND, IN THE CASE OF AN ACTUAL OR PERCEIVED CONFLICT OF INTEREST WHERE THE INDEMNITEES AFFECTED BY SUCH CONFLICT INFORM THE BORROWER OF SUCH CONFLICT, ANOTHER FIRM OF COUNSEL FOR SUCH AFFECTED INDEMNITEES)), INCURRED BY OR ASSERTED AGAINST ANY INDEMNITEE DIRECTLY ARISING OUT OF, DIRECTLY IN CONNECTION WITH, OR DIRECTLY AS A RESULT OF (i) THE EXECUTION OR DELIVERY OF THIS AGREEMENT OR ANY OTHER LOAN DOCUMENT OR ANY AGREEMENT OR INSTRUMENT CONTEMPLATED HEREBY OR THEREBY, THE PERFORMANCE BY THE PARTIES HERETO OR THE PARTIES TO ANY OTHER LOAN DOCUMENT OF THEIR RESPECTIVE OBLIGATIONS HEREUNDER OR THEREUNDER OR THE CONSUMMATION OF THE TRANSACTIONS CONTEMPLATED HEREBY OR BY ANY OTHER LOAN DOCUMENT, (ii)</w:t>
      </w:r>
    </w:p>
    <w:p>
      <w:pPr>
        <w:spacing w:after="0" w:line="15" w:lineRule="exact"/>
        <w:rPr>
          <w:sz w:val="20"/>
          <w:szCs w:val="20"/>
          <w:color w:val="auto"/>
        </w:rPr>
      </w:pPr>
    </w:p>
    <w:p>
      <w:pPr>
        <w:jc w:val="both"/>
        <w:ind w:right="399"/>
        <w:spacing w:after="0" w:line="231" w:lineRule="auto"/>
        <w:rPr>
          <w:sz w:val="20"/>
          <w:szCs w:val="20"/>
          <w:color w:val="auto"/>
        </w:rPr>
      </w:pPr>
      <w:r>
        <w:rPr>
          <w:rFonts w:ascii="Times New Roman" w:cs="Times New Roman" w:eastAsia="Times New Roman" w:hAnsi="Times New Roman"/>
          <w:sz w:val="22"/>
          <w:szCs w:val="22"/>
          <w:color w:val="auto"/>
        </w:rPr>
        <w:t>THE FAILURE OF THE BORROWER OR ANY RESTRICTED SUBSIDIARY TO COMPLY WITH THE TERMS OF ANY LOAN DOCUMENT, INCLUDING THIS AGREEMENT, OR WITH ANY GOVERNMENTAL REQUIREMENT, (iii) ANY INACCURACY OF ANY REPRESENTATION OR ANY BREACH OF ANY WARRANTY OR COVENANT OF THE BORROWER OR ANY GUARANTOR SET FORTH IN ANY OF THE LOAN DOCUMENTS</w:t>
      </w:r>
    </w:p>
    <w:p>
      <w:pPr>
        <w:ind w:left="5100"/>
        <w:spacing w:after="0"/>
        <w:rPr>
          <w:sz w:val="20"/>
          <w:szCs w:val="20"/>
          <w:color w:val="auto"/>
        </w:rPr>
      </w:pPr>
      <w:r>
        <w:rPr>
          <w:rFonts w:ascii="Times New Roman" w:cs="Times New Roman" w:eastAsia="Times New Roman" w:hAnsi="Times New Roman"/>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74" w:name="page175"/>
    <w:bookmarkEnd w:id="174"/>
    <w:p>
      <w:pPr>
        <w:jc w:val="both"/>
        <w:ind w:right="399"/>
        <w:spacing w:after="0" w:line="242" w:lineRule="auto"/>
        <w:rPr>
          <w:sz w:val="20"/>
          <w:szCs w:val="20"/>
          <w:color w:val="auto"/>
        </w:rPr>
      </w:pPr>
      <w:r>
        <w:rPr>
          <w:rFonts w:ascii="Times New Roman" w:cs="Times New Roman" w:eastAsia="Times New Roman" w:hAnsi="Times New Roman"/>
          <w:sz w:val="21"/>
          <w:szCs w:val="21"/>
          <w:color w:val="auto"/>
        </w:rPr>
        <w:t>OR ANY INSTRUMENTS, DOCUMENTS OR CERTIFICATIONS DELIVERED IN CONNECTION THEREWITH, (iv) ANY LOAN OR LETTER OF CREDIT OR THE USE OF THE PROCEEDS THEREFROM, INCLUDING, WITHOUT LIMITATION, (A) ANY REFUSAL BY ANY ISSUING BANK TO HONOR A DEMAND FOR PAYMENT UNDER A LETTER OF CREDIT IF THE DOCUMENTS PRESENTED IN CONNECTION WITH SUCH DEMAND DO NOT STRICTLY COMPLY WITH THE TERMS OF SUCH LETTER OF CREDIT, OR (B) THE PAYMENT OF A DRAWING UNDER ANY LETTER OF CREDIT NOTWITHSTANDING THE NON-COMPLIANCE, NON-DELIVERY OR OTHER IMPROPER PRESENTATION OF THE DOCUMENTS PRESENTED IN CONNECTION THEREWITH, (v) ANY OTHER ASPECT OF THE LOAN DOCUMENTS, (vi) THE OPERATIONS OF THE BUSINESS OF THE BORROWER AND ITS SUBSIDIARIES BY THE BORROWER AND ITS SUBSIDIARIES, (vii) ANY ASSERTION THAT THE LENDERS WERE NOT ENTITLED TO RECEIVE THE PROCEEDS RECEIVED PURSUANT TO THE SECURITY INSTRUMENTS, (viii) ANY ENVIRONMENTAL LAW APPLICABLE TO THE BORROWER OR ANY SUBSIDIARY OR ANY OF THEIR PROPERTIES, INCLUDING WITHOUT LIMITATION, THE PRESENCE, GENERATION, STORAGE, RELEASE, THREATENED RELEASE, USE, TRANSPORT, DISPOSAL, ARRANGEMENT OF DISPOSAL OR TREATMENT OF OIL, OIL AND GAS WASTES, SOLID WASTES OR HAZARDOUS SUBSTANCES ON ANY OF THEIR PROPERTIES, (ix) THE BREACH OR NON-COMPLIANCE BY THE BORROWER OR ANY SUBSIDIARY WITH ANY ENVIRONMENTAL LAW APPLICABLE TO THE BORROWER OR ANY SUBSIDIARY, (x) THE PAST OWNERSHIP BY THE BORROWER OR ANY SUBSIDIARY OF ANY OF THEIR PROPERTIES OR PAST ACTIVITY ON ANY OF THEIR PROPERTIES WHICH, THOUGH LAWFUL AND FULLY PERMISSIBLE AT THE TIME, COULD RESULT IN PRESENT LIABILITY, (xi) THE PRESENCE, USE, RELEASE, STORAGE, TREATMENT, DISPOSAL, GENERATION, THREATENED RELEASE, TRANSPORT, ARRANGEMENT FOR TRANSPORT OR ARRANGEMENT FOR DISPOSAL OF OIL, OIL AND GAS WASTES, SOLID WASTES OR HAZARDOUS SUBSTANCES ON OR AT ANY OF THE PROPERTIES OWNED OR OPERATED BY THE BORROWER OR ANY SUBSIDIARY OR ANY ACTUAL OR ALLEGED PRESENCE OR RELEASE OF HAZARDOUS MATERIALS ON OR FROM ANY PROPERTY OWNED OR OPERATED BY THE BORROWER OR ANY OF ITS SUBSIDIARIES, (xii) ANY ENVIRONMENTAL LIABILITY RELATED IN ANY WAY TO THE BORROWER OR ANY OF ITS SUBSIDIARIES, OR (xiii) ANY OTHER ENVIRONMENTAL, HEALTH OR SAFETY CONDITION IN CONNECTION WITH THE LOAN DOCUMENTS, OR (xiv)</w:t>
      </w:r>
    </w:p>
    <w:p>
      <w:pPr>
        <w:spacing w:after="0" w:line="9" w:lineRule="exact"/>
        <w:rPr>
          <w:sz w:val="20"/>
          <w:szCs w:val="20"/>
          <w:color w:val="auto"/>
        </w:rPr>
      </w:pPr>
    </w:p>
    <w:p>
      <w:pPr>
        <w:jc w:val="both"/>
        <w:ind w:right="399"/>
        <w:spacing w:after="0" w:line="230" w:lineRule="auto"/>
        <w:rPr>
          <w:sz w:val="20"/>
          <w:szCs w:val="20"/>
          <w:color w:val="auto"/>
        </w:rPr>
      </w:pPr>
      <w:r>
        <w:rPr>
          <w:rFonts w:ascii="Times New Roman" w:cs="Times New Roman" w:eastAsia="Times New Roman" w:hAnsi="Times New Roman"/>
          <w:sz w:val="22"/>
          <w:szCs w:val="22"/>
          <w:color w:val="auto"/>
        </w:rPr>
        <w:t xml:space="preserve">ANY ACTUAL OR PROSPECTIVE CLAIM, LITIGATION, INVESTIGATION OR PROCEEDING RELATING TO ANY OF THE FOREGOING, WHETHER BASED ON CONTRACT, TORT OR ANY OTHER THEORY AND REGARDLESS OF WHETHER ANY INDEMNITEE IS A PARTY THERETO, AND SUCH INDEMNITY SHALL EXTEND TO EACH INDEMNITEE NOTWITHSTANDING THE SOLE OR CONCURRENT NEGLIGENCE OF EVERY KIND OR CHARACTER WHATSOEVER, WHETHER ACTIVE OR PASSIVE, WHETHER AN AFFIRMATIVE ACT OR AN OMISSION, INCLUDING WITHOUT LIMITATION, ALL TYPES OF NEGLIGENT CONDUCT IDENTIFIED IN THE RESTATEMENT (SECOND) OF TORTS OF ONE OR MORE OF THE INDEMNITEES OR BY REASON OF STRICT LIABILITY IMPOSED WITHOUT FAULT ON ANY ONE OR MORE OF THE INDEMNITEES;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AS TO ANY INDEMNITEE, BE AVAILABLE TO THE</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75" w:name="page176"/>
    <w:bookmarkEnd w:id="175"/>
    <w:p>
      <w:pPr>
        <w:jc w:val="both"/>
        <w:ind w:right="399"/>
        <w:spacing w:after="0" w:line="234" w:lineRule="auto"/>
        <w:rPr>
          <w:sz w:val="20"/>
          <w:szCs w:val="20"/>
          <w:color w:val="auto"/>
        </w:rPr>
      </w:pPr>
      <w:r>
        <w:rPr>
          <w:rFonts w:ascii="Times New Roman" w:cs="Times New Roman" w:eastAsia="Times New Roman" w:hAnsi="Times New Roman"/>
          <w:sz w:val="22"/>
          <w:szCs w:val="22"/>
          <w:color w:val="auto"/>
        </w:rPr>
        <w:t>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GUARANTOR AGAINST AN INDEMNITEE FOR A MATERIAL BREACH IN BAD FAITH OF SUCH INDEMNITEE’S OBLIGATIONS UNDER THIS AGREEMENT, ANY OTHER LOAN DOCUMENT OR ANY AGREEMENT OR INSTRUMENT CONTEMPLATED HEREBY OR THEREBY, IF THE BORROWER OR SUCH GUARANTOR HAS OBTAINED A FINAL AND NONAPPEALABLE JUDGMENT IN ITS FAVOR ON SUCH CLAIM AS DETERMINED BY A COURT OF COMPETENT JURISDICTION.</w:t>
      </w:r>
    </w:p>
    <w:p>
      <w:pPr>
        <w:spacing w:after="0" w:line="179" w:lineRule="exact"/>
        <w:rPr>
          <w:sz w:val="20"/>
          <w:szCs w:val="20"/>
          <w:color w:val="auto"/>
        </w:rPr>
      </w:pPr>
    </w:p>
    <w:p>
      <w:pPr>
        <w:jc w:val="both"/>
        <w:ind w:right="399" w:firstLine="1498"/>
        <w:spacing w:after="0" w:line="248"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21"/>
          <w:szCs w:val="21"/>
          <w:u w:val="single" w:color="auto"/>
          <w:color w:val="auto"/>
        </w:rPr>
        <w:t>Reimbursement by Lenders</w:t>
      </w:r>
      <w:r>
        <w:rPr>
          <w:rFonts w:ascii="Times New Roman" w:cs="Times New Roman" w:eastAsia="Times New Roman" w:hAnsi="Times New Roman"/>
          <w:sz w:val="21"/>
          <w:szCs w:val="21"/>
          <w:color w:val="auto"/>
        </w:rPr>
        <w:t xml:space="preserve">. To the extent that the Borrower fails to pay any amount required to be paid by it to the Administrative Agent or the Issuing Banks under </w:t>
      </w:r>
      <w:r>
        <w:rPr>
          <w:rFonts w:ascii="Times New Roman" w:cs="Times New Roman" w:eastAsia="Times New Roman" w:hAnsi="Times New Roman"/>
          <w:sz w:val="21"/>
          <w:szCs w:val="21"/>
          <w:u w:val="single" w:color="auto"/>
          <w:color w:val="auto"/>
        </w:rPr>
        <w:t>Section 12.03(a)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12.03(b)</w:t>
      </w:r>
      <w:r>
        <w:rPr>
          <w:rFonts w:ascii="Times New Roman" w:cs="Times New Roman" w:eastAsia="Times New Roman" w:hAnsi="Times New Roman"/>
          <w:sz w:val="21"/>
          <w:szCs w:val="21"/>
          <w:color w:val="auto"/>
        </w:rPr>
        <w:t xml:space="preserve"> , each Lender severally agrees to pay to the Administrative Agent or the Issuing Banks,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unreimbursed expense or indemnified loss, claim, damage, liability or related expense, as the case may be, was incurred by or asserted against the Administrative Agent or the Issuing Banks in its capacity as such.</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(d)</w:t>
      </w: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xml:space="preserve">. All amounts due under this </w:t>
      </w:r>
      <w:r>
        <w:rPr>
          <w:rFonts w:ascii="Times New Roman" w:cs="Times New Roman" w:eastAsia="Times New Roman" w:hAnsi="Times New Roman"/>
          <w:sz w:val="21"/>
          <w:szCs w:val="21"/>
          <w:u w:val="single" w:color="auto"/>
          <w:color w:val="auto"/>
        </w:rPr>
        <w:t>Section 12.03</w:t>
      </w:r>
      <w:r>
        <w:rPr>
          <w:rFonts w:ascii="Times New Roman" w:cs="Times New Roman" w:eastAsia="Times New Roman" w:hAnsi="Times New Roman"/>
          <w:sz w:val="21"/>
          <w:szCs w:val="21"/>
          <w:color w:val="auto"/>
        </w:rPr>
        <w:t xml:space="preserve"> shall be payable no later than three</w:t>
      </w:r>
    </w:p>
    <w:p>
      <w:pPr>
        <w:spacing w:after="0" w:line="26" w:lineRule="exact"/>
        <w:rPr>
          <w:sz w:val="20"/>
          <w:szCs w:val="20"/>
          <w:color w:val="auto"/>
        </w:rPr>
      </w:pPr>
    </w:p>
    <w:p>
      <w:pPr>
        <w:ind w:left="760" w:right="4979" w:hanging="758"/>
        <w:spacing w:after="0" w:line="444" w:lineRule="auto"/>
        <w:tabs>
          <w:tab w:leader="none" w:pos="317"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Business Days after written demand therefor. Section 12.04 </w:t>
      </w:r>
      <w:r>
        <w:rPr>
          <w:rFonts w:ascii="Times New Roman" w:cs="Times New Roman" w:eastAsia="Times New Roman" w:hAnsi="Times New Roman"/>
          <w:sz w:val="21"/>
          <w:szCs w:val="21"/>
          <w:u w:val="single" w:color="auto"/>
          <w:color w:val="auto"/>
        </w:rPr>
        <w:t>Assignments and Participations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Successors and Assigns Generally</w:t>
      </w:r>
      <w:r>
        <w:rPr>
          <w:rFonts w:ascii="Times New Roman" w:cs="Times New Roman" w:eastAsia="Times New Roman" w:hAnsi="Times New Roman"/>
          <w:sz w:val="22"/>
          <w:szCs w:val="22"/>
          <w:color w:val="auto"/>
        </w:rPr>
        <w:t>. The provisions of this Agreement shall be binding upon and inure to the benefit of the parties hereto and their respective successors and assigns permitted hereby (including any Affiliate of the Issuing Bank that issues a Letter of Credit), except that (i) the Borrower may not assign or otherwise transfer any of its rights or obligations hereunder without the prior written consent of the Administrative Agent and each Lender, and</w:t>
      </w:r>
    </w:p>
    <w:p>
      <w:pPr>
        <w:jc w:val="both"/>
        <w:ind w:right="399" w:firstLine="2"/>
        <w:spacing w:after="0" w:line="232" w:lineRule="auto"/>
        <w:tabs>
          <w:tab w:leader="none" w:pos="32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Lender may assign or otherwise transfer its rights or obligations hereunder except (A) to an assignee in accordance with the provisions of </w:t>
      </w:r>
      <w:r>
        <w:rPr>
          <w:rFonts w:ascii="Times New Roman" w:cs="Times New Roman" w:eastAsia="Times New Roman" w:hAnsi="Times New Roman"/>
          <w:sz w:val="22"/>
          <w:szCs w:val="22"/>
          <w:u w:val="single" w:color="auto"/>
          <w:color w:val="auto"/>
        </w:rPr>
        <w:t>Section 12.04(b)</w:t>
      </w:r>
      <w:r>
        <w:rPr>
          <w:rFonts w:ascii="Times New Roman" w:cs="Times New Roman" w:eastAsia="Times New Roman" w:hAnsi="Times New Roman"/>
          <w:sz w:val="22"/>
          <w:szCs w:val="22"/>
          <w:color w:val="auto"/>
        </w:rPr>
        <w:t xml:space="preserve">, (B) by way of participation in accordance with the provisions of </w:t>
      </w:r>
      <w:r>
        <w:rPr>
          <w:rFonts w:ascii="Times New Roman" w:cs="Times New Roman" w:eastAsia="Times New Roman" w:hAnsi="Times New Roman"/>
          <w:sz w:val="22"/>
          <w:szCs w:val="22"/>
          <w:u w:val="single" w:color="auto"/>
          <w:color w:val="auto"/>
        </w:rPr>
        <w:t>Section 12.04(d)</w:t>
      </w:r>
      <w:r>
        <w:rPr>
          <w:rFonts w:ascii="Times New Roman" w:cs="Times New Roman" w:eastAsia="Times New Roman" w:hAnsi="Times New Roman"/>
          <w:sz w:val="22"/>
          <w:szCs w:val="22"/>
          <w:color w:val="auto"/>
        </w:rPr>
        <w:t xml:space="preserve">, or (C) by way of pledge or assignment of a security interest subject to the restrictions of </w:t>
      </w:r>
      <w:r>
        <w:rPr>
          <w:rFonts w:ascii="Times New Roman" w:cs="Times New Roman" w:eastAsia="Times New Roman" w:hAnsi="Times New Roman"/>
          <w:sz w:val="22"/>
          <w:szCs w:val="22"/>
          <w:u w:val="single" w:color="auto"/>
          <w:color w:val="auto"/>
        </w:rPr>
        <w:t>Section 12.04(f)</w:t>
      </w:r>
      <w:r>
        <w:rPr>
          <w:rFonts w:ascii="Times New Roman" w:cs="Times New Roman" w:eastAsia="Times New Roman" w:hAnsi="Times New Roman"/>
          <w:sz w:val="22"/>
          <w:szCs w:val="22"/>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w:t>
      </w:r>
      <w:r>
        <w:rPr>
          <w:rFonts w:ascii="Times New Roman" w:cs="Times New Roman" w:eastAsia="Times New Roman" w:hAnsi="Times New Roman"/>
          <w:sz w:val="22"/>
          <w:szCs w:val="22"/>
          <w:u w:val="single" w:color="auto"/>
          <w:color w:val="auto"/>
        </w:rPr>
        <w:t>Section 12.04(d)</w:t>
      </w:r>
      <w:r>
        <w:rPr>
          <w:rFonts w:ascii="Times New Roman" w:cs="Times New Roman" w:eastAsia="Times New Roman" w:hAnsi="Times New Roman"/>
          <w:sz w:val="22"/>
          <w:szCs w:val="22"/>
          <w:color w:val="auto"/>
        </w:rPr>
        <w:t>) and, to the extent expressly contemplated hereby, the Related Parties of each of the Administrative Agent, the Issuing Bank and the Lenders) any legal or equitable right, remedy or claim under or by reason of this Agreement.</w:t>
      </w:r>
    </w:p>
    <w:p>
      <w:pPr>
        <w:spacing w:after="0" w:line="177"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assignments shall be subject to the following conditions:</w:t>
      </w:r>
    </w:p>
    <w:p>
      <w:pPr>
        <w:spacing w:after="0" w:line="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76" w:name="page177"/>
    <w:bookmarkEnd w:id="176"/>
    <w:p>
      <w:pPr>
        <w:ind w:left="3000" w:hanging="751"/>
        <w:spacing w:after="0"/>
        <w:tabs>
          <w:tab w:leader="none" w:pos="300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2995"/>
        <w:spacing w:after="0" w:line="239" w:lineRule="auto"/>
        <w:rPr>
          <w:sz w:val="20"/>
          <w:szCs w:val="20"/>
          <w:color w:val="auto"/>
        </w:rPr>
      </w:pPr>
      <w:r>
        <w:rPr>
          <w:rFonts w:ascii="Times New Roman" w:cs="Times New Roman" w:eastAsia="Times New Roman" w:hAnsi="Times New Roman"/>
          <w:sz w:val="22"/>
          <w:szCs w:val="22"/>
          <w:color w:val="auto"/>
        </w:rPr>
        <w:t>(A)in the case of an assignment of the entire remaining amount of the assigning Lender’s Commitment and the Loans at the time owing to it or in the case of an assignment to a Lender, an Affiliate of a Lender or an Approved Fund (determined after giving effect to such assignments), no minimum amount need be assigned; and</w:t>
      </w:r>
    </w:p>
    <w:p>
      <w:pPr>
        <w:spacing w:after="0" w:line="180" w:lineRule="exact"/>
        <w:rPr>
          <w:sz w:val="20"/>
          <w:szCs w:val="20"/>
          <w:color w:val="auto"/>
        </w:rPr>
      </w:pPr>
    </w:p>
    <w:p>
      <w:pPr>
        <w:jc w:val="both"/>
        <w:ind w:right="399" w:firstLine="2995"/>
        <w:spacing w:after="0" w:line="247" w:lineRule="auto"/>
        <w:rPr>
          <w:sz w:val="20"/>
          <w:szCs w:val="20"/>
          <w:color w:val="auto"/>
        </w:rPr>
      </w:pPr>
      <w:r>
        <w:rPr>
          <w:rFonts w:ascii="Times New Roman" w:cs="Times New Roman" w:eastAsia="Times New Roman" w:hAnsi="Times New Roman"/>
          <w:sz w:val="21"/>
          <w:szCs w:val="21"/>
          <w:color w:val="auto"/>
        </w:rPr>
        <w:t xml:space="preserve">(B)in any case not described in </w:t>
      </w:r>
      <w:r>
        <w:rPr>
          <w:rFonts w:ascii="Times New Roman" w:cs="Times New Roman" w:eastAsia="Times New Roman" w:hAnsi="Times New Roman"/>
          <w:sz w:val="21"/>
          <w:szCs w:val="21"/>
          <w:u w:val="single" w:color="auto"/>
          <w:color w:val="auto"/>
        </w:rPr>
        <w:t>Section 12.04(b)(i)(A)</w:t>
      </w:r>
      <w:r>
        <w:rPr>
          <w:rFonts w:ascii="Times New Roman" w:cs="Times New Roman" w:eastAsia="Times New Roman" w:hAnsi="Times New Roman"/>
          <w:sz w:val="21"/>
          <w:szCs w:val="21"/>
          <w:color w:val="auto"/>
        </w:rPr>
        <w:t>,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a “Trade Date” is specified in the Assignment and Assumption, as of such Trade Date) shall not be less than $5,000,000, unless the Administrative Agent otherwise consents and, so long as no Event of Default has occurred and is continuing, the Borrower otherwise consents (such consent not to be unreasonably withheld or delayed).</w:t>
      </w:r>
    </w:p>
    <w:p>
      <w:pPr>
        <w:spacing w:after="0" w:line="172" w:lineRule="exact"/>
        <w:rPr>
          <w:sz w:val="20"/>
          <w:szCs w:val="20"/>
          <w:color w:val="auto"/>
        </w:rPr>
      </w:pPr>
    </w:p>
    <w:p>
      <w:pPr>
        <w:jc w:val="both"/>
        <w:ind w:right="399" w:firstLine="2249"/>
        <w:spacing w:after="0" w:line="244" w:lineRule="auto"/>
        <w:tabs>
          <w:tab w:leader="none" w:pos="262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Proportionate Amounts</w:t>
      </w:r>
      <w:r>
        <w:rPr>
          <w:rFonts w:ascii="Times New Roman" w:cs="Times New Roman" w:eastAsia="Times New Roman" w:hAnsi="Times New Roman"/>
          <w:sz w:val="22"/>
          <w:szCs w:val="22"/>
          <w:color w:val="auto"/>
        </w:rPr>
        <w:t>. Each partial assignment shall be made as an assignment of a proportionate part of all of the assigning Lender’s rights and obligations under this Agreement with respect to the Loan and the Commitment assigned.</w:t>
      </w:r>
    </w:p>
    <w:p>
      <w:pPr>
        <w:spacing w:after="0" w:line="173" w:lineRule="exact"/>
        <w:rPr>
          <w:rFonts w:ascii="Times New Roman" w:cs="Times New Roman" w:eastAsia="Times New Roman" w:hAnsi="Times New Roman"/>
          <w:sz w:val="22"/>
          <w:szCs w:val="22"/>
          <w:color w:val="auto"/>
        </w:rPr>
      </w:pPr>
    </w:p>
    <w:p>
      <w:pPr>
        <w:ind w:right="399" w:firstLine="2249"/>
        <w:spacing w:after="0" w:line="258" w:lineRule="auto"/>
        <w:tabs>
          <w:tab w:leader="none" w:pos="262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xml:space="preserve">. No consent shall be required for any assignment except to the extent required by </w:t>
      </w:r>
      <w:r>
        <w:rPr>
          <w:rFonts w:ascii="Times New Roman" w:cs="Times New Roman" w:eastAsia="Times New Roman" w:hAnsi="Times New Roman"/>
          <w:sz w:val="22"/>
          <w:szCs w:val="22"/>
          <w:u w:val="single" w:color="auto"/>
          <w:color w:val="auto"/>
        </w:rPr>
        <w:t>Section 12.04(b)(i)(B)</w:t>
      </w:r>
      <w:r>
        <w:rPr>
          <w:rFonts w:ascii="Times New Roman" w:cs="Times New Roman" w:eastAsia="Times New Roman" w:hAnsi="Times New Roman"/>
          <w:sz w:val="22"/>
          <w:szCs w:val="22"/>
          <w:color w:val="auto"/>
        </w:rPr>
        <w:t xml:space="preserve"> and, in addition:</w:t>
      </w:r>
    </w:p>
    <w:p>
      <w:pPr>
        <w:spacing w:after="0" w:line="158" w:lineRule="exact"/>
        <w:rPr>
          <w:sz w:val="20"/>
          <w:szCs w:val="20"/>
          <w:color w:val="auto"/>
        </w:rPr>
      </w:pPr>
    </w:p>
    <w:p>
      <w:pPr>
        <w:jc w:val="both"/>
        <w:ind w:right="399" w:firstLine="2995"/>
        <w:spacing w:after="0" w:line="236" w:lineRule="auto"/>
        <w:rPr>
          <w:sz w:val="20"/>
          <w:szCs w:val="20"/>
          <w:color w:val="auto"/>
        </w:rPr>
      </w:pPr>
      <w:r>
        <w:rPr>
          <w:rFonts w:ascii="Times New Roman" w:cs="Times New Roman" w:eastAsia="Times New Roman" w:hAnsi="Times New Roman"/>
          <w:sz w:val="22"/>
          <w:szCs w:val="22"/>
          <w:color w:val="auto"/>
        </w:rPr>
        <w:t xml:space="preserve">(A)the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be deemed to have consented to any such assignment unless the Borrower shall object thereto by written notice to the Administrative Agent within ten (10) Business Days after having received notice thereof; and</w:t>
      </w:r>
    </w:p>
    <w:p>
      <w:pPr>
        <w:spacing w:after="0" w:line="181" w:lineRule="exact"/>
        <w:rPr>
          <w:sz w:val="20"/>
          <w:szCs w:val="20"/>
          <w:color w:val="auto"/>
        </w:rPr>
      </w:pPr>
    </w:p>
    <w:p>
      <w:pPr>
        <w:jc w:val="both"/>
        <w:ind w:right="399" w:firstLine="2995"/>
        <w:spacing w:after="0" w:line="239" w:lineRule="auto"/>
        <w:rPr>
          <w:sz w:val="20"/>
          <w:szCs w:val="20"/>
          <w:color w:val="auto"/>
        </w:rPr>
      </w:pPr>
      <w:r>
        <w:rPr>
          <w:rFonts w:ascii="Times New Roman" w:cs="Times New Roman" w:eastAsia="Times New Roman" w:hAnsi="Times New Roman"/>
          <w:sz w:val="22"/>
          <w:szCs w:val="22"/>
          <w:color w:val="auto"/>
        </w:rPr>
        <w:t>(B)the consent of the Administrative Agent (such consent not to be reasonably withheld or delayed) shall be required for assignments in respect of a Commitment or Revolving Credit Exposure if such assignment is to a Person that is not a Lender, an Affiliate of such Lender or an Approved Fund with respect to such Lender; and</w:t>
      </w:r>
    </w:p>
    <w:p>
      <w:pPr>
        <w:spacing w:after="0" w:line="180" w:lineRule="exact"/>
        <w:rPr>
          <w:sz w:val="20"/>
          <w:szCs w:val="20"/>
          <w:color w:val="auto"/>
        </w:rPr>
      </w:pPr>
    </w:p>
    <w:p>
      <w:pPr>
        <w:jc w:val="both"/>
        <w:ind w:right="399" w:firstLine="2995"/>
        <w:spacing w:after="0" w:line="244" w:lineRule="auto"/>
        <w:rPr>
          <w:sz w:val="20"/>
          <w:szCs w:val="20"/>
          <w:color w:val="auto"/>
        </w:rPr>
      </w:pPr>
      <w:r>
        <w:rPr>
          <w:rFonts w:ascii="Times New Roman" w:cs="Times New Roman" w:eastAsia="Times New Roman" w:hAnsi="Times New Roman"/>
          <w:sz w:val="22"/>
          <w:szCs w:val="22"/>
          <w:color w:val="auto"/>
        </w:rPr>
        <w:t>(C)the consent of the Issuing Bank (such consent not to be unreasonably withheld or delayed) shall be required for any assignment that increases the obligation of the assignee to participate in LC Exposure (whether or not then outstanding).</w:t>
      </w:r>
    </w:p>
    <w:p>
      <w:pPr>
        <w:spacing w:after="0" w:line="173" w:lineRule="exact"/>
        <w:rPr>
          <w:sz w:val="20"/>
          <w:szCs w:val="20"/>
          <w:color w:val="auto"/>
        </w:rPr>
      </w:pPr>
    </w:p>
    <w:p>
      <w:pPr>
        <w:jc w:val="both"/>
        <w:ind w:right="399" w:firstLine="2249"/>
        <w:spacing w:after="0" w:line="239" w:lineRule="auto"/>
        <w:tabs>
          <w:tab w:leader="none" w:pos="262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The parties to each assignment shall execute and deliver to the Administrative Agent an Assignment and Assumption, together with a processing and recordation fee of $3,500, and the assignee, if it is not a Lender, shall deliver to the Administrative Agent an Administrative Questionnaire.</w:t>
      </w:r>
    </w:p>
    <w:p>
      <w:pPr>
        <w:spacing w:after="0" w:line="180" w:lineRule="exact"/>
        <w:rPr>
          <w:rFonts w:ascii="Times New Roman" w:cs="Times New Roman" w:eastAsia="Times New Roman" w:hAnsi="Times New Roman"/>
          <w:sz w:val="22"/>
          <w:szCs w:val="22"/>
          <w:color w:val="auto"/>
        </w:rPr>
      </w:pPr>
    </w:p>
    <w:p>
      <w:pPr>
        <w:ind w:right="399" w:firstLine="2249"/>
        <w:spacing w:after="0" w:line="243" w:lineRule="auto"/>
        <w:tabs>
          <w:tab w:leader="none" w:pos="262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to Certain Persons</w:t>
      </w:r>
      <w:r>
        <w:rPr>
          <w:rFonts w:ascii="Times New Roman" w:cs="Times New Roman" w:eastAsia="Times New Roman" w:hAnsi="Times New Roman"/>
          <w:sz w:val="22"/>
          <w:szCs w:val="22"/>
          <w:color w:val="auto"/>
        </w:rPr>
        <w:t>. No such assignment shall be made to (A) the Borrower or any of its respective Affiliates or Subsidiaries, or (B) to any</w:t>
      </w:r>
    </w:p>
    <w:p>
      <w:pPr>
        <w:ind w:left="5100"/>
        <w:spacing w:after="0"/>
        <w:rPr>
          <w:sz w:val="20"/>
          <w:szCs w:val="20"/>
          <w:color w:val="auto"/>
        </w:rPr>
      </w:pPr>
      <w:r>
        <w:rPr>
          <w:rFonts w:ascii="Times New Roman" w:cs="Times New Roman" w:eastAsia="Times New Roman" w:hAnsi="Times New Roman"/>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77" w:name="page178"/>
    <w:bookmarkEnd w:id="177"/>
    <w:p>
      <w:pPr>
        <w:ind w:right="399"/>
        <w:spacing w:after="0" w:line="258" w:lineRule="auto"/>
        <w:rPr>
          <w:sz w:val="20"/>
          <w:szCs w:val="20"/>
          <w:color w:val="auto"/>
        </w:rPr>
      </w:pPr>
      <w:r>
        <w:rPr>
          <w:rFonts w:ascii="Times New Roman" w:cs="Times New Roman" w:eastAsia="Times New Roman" w:hAnsi="Times New Roman"/>
          <w:sz w:val="22"/>
          <w:szCs w:val="22"/>
          <w:color w:val="auto"/>
        </w:rPr>
        <w:t>Defaulting Lender or any of its Subsidiaries, or any Person who, upon becoming a Lender hereunder, would constitute a Defaulting Lender or a Subsidiary thereof.</w:t>
      </w:r>
    </w:p>
    <w:p>
      <w:pPr>
        <w:spacing w:after="0" w:line="158" w:lineRule="exact"/>
        <w:rPr>
          <w:sz w:val="20"/>
          <w:szCs w:val="20"/>
          <w:color w:val="auto"/>
        </w:rPr>
      </w:pPr>
    </w:p>
    <w:p>
      <w:pPr>
        <w:jc w:val="both"/>
        <w:ind w:right="399" w:firstLine="2249"/>
        <w:spacing w:after="0" w:line="244" w:lineRule="auto"/>
        <w:tabs>
          <w:tab w:leader="none" w:pos="262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to Natural Persons</w:t>
      </w:r>
      <w:r>
        <w:rPr>
          <w:rFonts w:ascii="Times New Roman" w:cs="Times New Roman" w:eastAsia="Times New Roman" w:hAnsi="Times New Roman"/>
          <w:sz w:val="22"/>
          <w:szCs w:val="22"/>
          <w:color w:val="auto"/>
        </w:rPr>
        <w:t>. No such assignment shall be made to a natural Person or a holding company, investment vehicle, or trust for, or owned and operate for the primary benefit of, a natural Person (each such Person a “</w:t>
      </w:r>
      <w:r>
        <w:rPr>
          <w:rFonts w:ascii="Times New Roman" w:cs="Times New Roman" w:eastAsia="Times New Roman" w:hAnsi="Times New Roman"/>
          <w:sz w:val="22"/>
          <w:szCs w:val="22"/>
          <w:u w:val="single" w:color="auto"/>
          <w:color w:val="auto"/>
        </w:rPr>
        <w:t>Natural Person</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399"/>
        <w:spacing w:after="0" w:line="233" w:lineRule="auto"/>
        <w:rPr>
          <w:sz w:val="20"/>
          <w:szCs w:val="20"/>
          <w:color w:val="auto"/>
        </w:rPr>
      </w:pPr>
      <w:r>
        <w:rPr>
          <w:rFonts w:ascii="Times New Roman" w:cs="Times New Roman" w:eastAsia="Times New Roman" w:hAnsi="Times New Roman"/>
          <w:sz w:val="22"/>
          <w:szCs w:val="22"/>
          <w:color w:val="auto"/>
        </w:rPr>
        <w:t xml:space="preserve">Subject to acceptance and recording thereof by the Administrative Agent pursuant to </w:t>
      </w:r>
      <w:r>
        <w:rPr>
          <w:rFonts w:ascii="Times New Roman" w:cs="Times New Roman" w:eastAsia="Times New Roman" w:hAnsi="Times New Roman"/>
          <w:sz w:val="22"/>
          <w:szCs w:val="22"/>
          <w:u w:val="single" w:color="auto"/>
          <w:color w:val="auto"/>
        </w:rPr>
        <w:t>Section 12.04(c)</w:t>
      </w:r>
      <w:r>
        <w:rPr>
          <w:rFonts w:ascii="Times New Roman" w:cs="Times New Roman" w:eastAsia="Times New Roman" w:hAnsi="Times New Roman"/>
          <w:sz w:val="22"/>
          <w:szCs w:val="22"/>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12.03</w:t>
      </w:r>
      <w:r>
        <w:rPr>
          <w:rFonts w:ascii="Times New Roman" w:cs="Times New Roman" w:eastAsia="Times New Roman" w:hAnsi="Times New Roman"/>
          <w:sz w:val="22"/>
          <w:szCs w:val="22"/>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Times New Roman" w:cs="Times New Roman" w:eastAsia="Times New Roman" w:hAnsi="Times New Roman"/>
          <w:sz w:val="22"/>
          <w:szCs w:val="22"/>
          <w:u w:val="single" w:color="auto"/>
          <w:color w:val="auto"/>
        </w:rPr>
        <w:t>Section 12.04</w:t>
      </w:r>
      <w:r>
        <w:rPr>
          <w:rFonts w:ascii="Times New Roman" w:cs="Times New Roman" w:eastAsia="Times New Roman" w:hAnsi="Times New Roman"/>
          <w:sz w:val="22"/>
          <w:szCs w:val="22"/>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2"/>
          <w:szCs w:val="22"/>
          <w:u w:val="single" w:color="auto"/>
          <w:color w:val="auto"/>
        </w:rPr>
        <w:t>Section 12.04(d)</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right="399" w:firstLine="1498"/>
        <w:spacing w:after="0" w:line="242"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Administrative Agent, acting solely for this purpose as a non-fiduciary agent of the Borrower, shall maintain at one of its offices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xml:space="preserve">”). Upon the Administrative Agent’s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21"/>
          <w:szCs w:val="21"/>
          <w:u w:val="single" w:color="auto"/>
          <w:color w:val="auto"/>
        </w:rPr>
        <w:t>Section 12.04(b)</w:t>
      </w:r>
      <w:r>
        <w:rPr>
          <w:rFonts w:ascii="Times New Roman" w:cs="Times New Roman" w:eastAsia="Times New Roman" w:hAnsi="Times New Roman"/>
          <w:sz w:val="21"/>
          <w:szCs w:val="21"/>
          <w:color w:val="auto"/>
        </w:rPr>
        <w:t xml:space="preserve"> and any written consent to such assignment required by </w:t>
      </w:r>
      <w:r>
        <w:rPr>
          <w:rFonts w:ascii="Times New Roman" w:cs="Times New Roman" w:eastAsia="Times New Roman" w:hAnsi="Times New Roman"/>
          <w:sz w:val="21"/>
          <w:szCs w:val="21"/>
          <w:u w:val="single" w:color="auto"/>
          <w:color w:val="auto"/>
        </w:rPr>
        <w:t>Section 12.04(b)</w:t>
      </w:r>
      <w:r>
        <w:rPr>
          <w:rFonts w:ascii="Times New Roman" w:cs="Times New Roman" w:eastAsia="Times New Roman" w:hAnsi="Times New Roman"/>
          <w:sz w:val="21"/>
          <w:szCs w:val="21"/>
          <w:color w:val="auto"/>
        </w:rPr>
        <w:t xml:space="preserve">, the Administrative Agent shall accept such Assignment and Assumption and record the information contained therein in the Register. No assignment shall be effective for purposes of this Agreement unless it has been recorded in the Register as provided in this </w:t>
      </w:r>
      <w:r>
        <w:rPr>
          <w:rFonts w:ascii="Times New Roman" w:cs="Times New Roman" w:eastAsia="Times New Roman" w:hAnsi="Times New Roman"/>
          <w:sz w:val="21"/>
          <w:szCs w:val="21"/>
          <w:u w:val="single" w:color="auto"/>
          <w:color w:val="auto"/>
        </w:rPr>
        <w:t>Section 12.04(c)</w:t>
      </w:r>
      <w:r>
        <w:rPr>
          <w:rFonts w:ascii="Times New Roman" w:cs="Times New Roman" w:eastAsia="Times New Roman" w:hAnsi="Times New Roman"/>
          <w:sz w:val="21"/>
          <w:szCs w:val="21"/>
          <w:color w:val="auto"/>
        </w:rPr>
        <w:t xml:space="preserve">. The entries in the Register shall be conclusive, and the Borrower, the Administrative Agent, the Issuing Bank and the Lenders may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 In connection with any changes to the Register, if necessary, the Administrative Agent will reflect the revisions on </w:t>
      </w:r>
      <w:r>
        <w:rPr>
          <w:rFonts w:ascii="Times New Roman" w:cs="Times New Roman" w:eastAsia="Times New Roman" w:hAnsi="Times New Roman"/>
          <w:sz w:val="21"/>
          <w:szCs w:val="21"/>
          <w:u w:val="single" w:color="auto"/>
          <w:color w:val="auto"/>
        </w:rPr>
        <w:t>Annex I</w:t>
      </w:r>
      <w:r>
        <w:rPr>
          <w:rFonts w:ascii="Times New Roman" w:cs="Times New Roman" w:eastAsia="Times New Roman" w:hAnsi="Times New Roman"/>
          <w:sz w:val="21"/>
          <w:szCs w:val="21"/>
          <w:color w:val="auto"/>
        </w:rPr>
        <w:t xml:space="preserve"> and forward a copy of such revised </w:t>
      </w:r>
      <w:r>
        <w:rPr>
          <w:rFonts w:ascii="Times New Roman" w:cs="Times New Roman" w:eastAsia="Times New Roman" w:hAnsi="Times New Roman"/>
          <w:sz w:val="21"/>
          <w:szCs w:val="21"/>
          <w:u w:val="single" w:color="auto"/>
          <w:color w:val="auto"/>
        </w:rPr>
        <w:t>Annex I</w:t>
      </w:r>
      <w:r>
        <w:rPr>
          <w:rFonts w:ascii="Times New Roman" w:cs="Times New Roman" w:eastAsia="Times New Roman" w:hAnsi="Times New Roman"/>
          <w:sz w:val="21"/>
          <w:szCs w:val="21"/>
          <w:color w:val="auto"/>
        </w:rPr>
        <w:t xml:space="preserve"> to the Borrower, the Issuing Bank and each Lender. This Section 12.04(c) shall be construed so that all Loans are at all times maintained in “registered form” within the meaning of sections 163(f), 871(h)(2) and 881(c)(2) of the Code and any related Treasury Regulations (or any other relevant or successor provisions of the Code or of such Treasury Regulations).</w:t>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78" w:name="page179"/>
    <w:bookmarkEnd w:id="178"/>
    <w:p>
      <w:pPr>
        <w:ind w:left="2240" w:hanging="740"/>
        <w:spacing w:after="0"/>
        <w:tabs>
          <w:tab w:leader="none" w:pos="224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399" w:firstLine="2249"/>
        <w:spacing w:after="0" w:line="234" w:lineRule="auto"/>
        <w:tabs>
          <w:tab w:leader="none" w:pos="2621"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at any time, without the consent of, or notice to the Borrower, the Administrative Agent or the Issuing Bank, sell participations to any Person (other than a Natural Person or the Borrower or its respective Affiliates or Subsidiaries)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 and the other Lenders shall continue to deal solely and directly with such Lender in connection with such Lender’s rights and obligations under this Agreement.</w:t>
      </w:r>
    </w:p>
    <w:p>
      <w:pPr>
        <w:spacing w:after="0" w:line="183" w:lineRule="exact"/>
        <w:rPr>
          <w:rFonts w:ascii="Times New Roman" w:cs="Times New Roman" w:eastAsia="Times New Roman" w:hAnsi="Times New Roman"/>
          <w:sz w:val="22"/>
          <w:szCs w:val="22"/>
          <w:color w:val="auto"/>
        </w:rPr>
      </w:pPr>
    </w:p>
    <w:p>
      <w:pPr>
        <w:jc w:val="both"/>
        <w:ind w:right="399" w:firstLine="2249"/>
        <w:spacing w:after="0" w:line="233" w:lineRule="auto"/>
        <w:tabs>
          <w:tab w:leader="none" w:pos="2621"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modification or waiver described in the proviso to </w:t>
      </w:r>
      <w:r>
        <w:rPr>
          <w:rFonts w:ascii="Times New Roman" w:cs="Times New Roman" w:eastAsia="Times New Roman" w:hAnsi="Times New Roman"/>
          <w:sz w:val="22"/>
          <w:szCs w:val="22"/>
          <w:u w:val="single" w:color="auto"/>
          <w:color w:val="auto"/>
        </w:rPr>
        <w:t>Section 12.02(b)</w:t>
      </w:r>
      <w:r>
        <w:rPr>
          <w:rFonts w:ascii="Times New Roman" w:cs="Times New Roman" w:eastAsia="Times New Roman" w:hAnsi="Times New Roman"/>
          <w:sz w:val="22"/>
          <w:szCs w:val="22"/>
          <w:color w:val="auto"/>
        </w:rPr>
        <w:t xml:space="preserve"> that affects such Participant. In addition such agreement must provide that the Participant be bound by the provisions of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12.12</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12.04(e)</w:t>
      </w:r>
      <w:r>
        <w:rPr>
          <w:rFonts w:ascii="Times New Roman" w:cs="Times New Roman" w:eastAsia="Times New Roman" w:hAnsi="Times New Roman"/>
          <w:sz w:val="22"/>
          <w:szCs w:val="22"/>
          <w:color w:val="auto"/>
        </w:rPr>
        <w:t xml:space="preserve">, the Borrower agrees that each Participant shall be entitled to the benefits of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(subject to the requirements and limitations therein, including the requirements under </w:t>
      </w:r>
      <w:r>
        <w:rPr>
          <w:rFonts w:ascii="Times New Roman" w:cs="Times New Roman" w:eastAsia="Times New Roman" w:hAnsi="Times New Roman"/>
          <w:sz w:val="22"/>
          <w:szCs w:val="22"/>
          <w:u w:val="single" w:color="auto"/>
          <w:color w:val="auto"/>
        </w:rPr>
        <w:t>Section 5.03(f)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5.03(g)</w:t>
      </w:r>
      <w:r>
        <w:rPr>
          <w:rFonts w:ascii="Times New Roman" w:cs="Times New Roman" w:eastAsia="Times New Roman" w:hAnsi="Times New Roman"/>
          <w:sz w:val="22"/>
          <w:szCs w:val="22"/>
          <w:color w:val="auto"/>
        </w:rPr>
        <w:t xml:space="preserve"> (it being understood that the documentation required under </w:t>
      </w:r>
      <w:r>
        <w:rPr>
          <w:rFonts w:ascii="Times New Roman" w:cs="Times New Roman" w:eastAsia="Times New Roman" w:hAnsi="Times New Roman"/>
          <w:sz w:val="22"/>
          <w:szCs w:val="22"/>
          <w:u w:val="single" w:color="auto"/>
          <w:color w:val="auto"/>
        </w:rPr>
        <w:t>Section 5.03(f)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5.03(g)</w:t>
      </w:r>
      <w:r>
        <w:rPr>
          <w:rFonts w:ascii="Times New Roman" w:cs="Times New Roman" w:eastAsia="Times New Roman" w:hAnsi="Times New Roman"/>
          <w:sz w:val="22"/>
          <w:szCs w:val="22"/>
          <w:color w:val="auto"/>
        </w:rPr>
        <w:t xml:space="preserve"> shall be delivered to the participating Lender)) to the same extent as if it were a Lender and had acquired its interest by assignment pursuant to </w:t>
      </w:r>
      <w:r>
        <w:rPr>
          <w:rFonts w:ascii="Times New Roman" w:cs="Times New Roman" w:eastAsia="Times New Roman" w:hAnsi="Times New Roman"/>
          <w:sz w:val="22"/>
          <w:szCs w:val="22"/>
          <w:u w:val="single" w:color="auto"/>
          <w:color w:val="auto"/>
        </w:rPr>
        <w:t>Section 12.04(b)</w:t>
      </w:r>
      <w:r>
        <w:rPr>
          <w:rFonts w:ascii="Times New Roman" w:cs="Times New Roman" w:eastAsia="Times New Roman" w:hAnsi="Times New Roman"/>
          <w:sz w:val="22"/>
          <w:szCs w:val="22"/>
          <w:color w:val="auto"/>
        </w:rPr>
        <w:t xml:space="preserve">. To the extent permitted by law, each Participant also shall be entitled to the benefits of </w:t>
      </w:r>
      <w:r>
        <w:rPr>
          <w:rFonts w:ascii="Times New Roman" w:cs="Times New Roman" w:eastAsia="Times New Roman" w:hAnsi="Times New Roman"/>
          <w:sz w:val="22"/>
          <w:szCs w:val="22"/>
          <w:u w:val="single" w:color="auto"/>
          <w:color w:val="auto"/>
        </w:rPr>
        <w:t>Section 12.09</w:t>
      </w:r>
      <w:r>
        <w:rPr>
          <w:rFonts w:ascii="Times New Roman" w:cs="Times New Roman" w:eastAsia="Times New Roman" w:hAnsi="Times New Roman"/>
          <w:sz w:val="22"/>
          <w:szCs w:val="22"/>
          <w:color w:val="auto"/>
        </w:rPr>
        <w:t xml:space="preserve"> as though it were a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Participant agrees to be subject to </w:t>
      </w:r>
      <w:r>
        <w:rPr>
          <w:rFonts w:ascii="Times New Roman" w:cs="Times New Roman" w:eastAsia="Times New Roman" w:hAnsi="Times New Roman"/>
          <w:sz w:val="22"/>
          <w:szCs w:val="22"/>
          <w:u w:val="single" w:color="auto"/>
          <w:color w:val="auto"/>
        </w:rPr>
        <w:t>Section 4.01(c)</w:t>
      </w:r>
      <w:r>
        <w:rPr>
          <w:rFonts w:ascii="Times New Roman" w:cs="Times New Roman" w:eastAsia="Times New Roman" w:hAnsi="Times New Roman"/>
          <w:sz w:val="22"/>
          <w:szCs w:val="22"/>
          <w:color w:val="auto"/>
        </w:rPr>
        <w:t xml:space="preserve"> as though it were a Lender.</w:t>
      </w:r>
    </w:p>
    <w:p>
      <w:pPr>
        <w:spacing w:after="0" w:line="179" w:lineRule="exact"/>
        <w:rPr>
          <w:rFonts w:ascii="Times New Roman" w:cs="Times New Roman" w:eastAsia="Times New Roman" w:hAnsi="Times New Roman"/>
          <w:sz w:val="22"/>
          <w:szCs w:val="22"/>
          <w:color w:val="auto"/>
        </w:rPr>
      </w:pPr>
    </w:p>
    <w:p>
      <w:pPr>
        <w:jc w:val="both"/>
        <w:ind w:right="399" w:firstLine="2249"/>
        <w:spacing w:after="0" w:line="233" w:lineRule="auto"/>
        <w:tabs>
          <w:tab w:leader="none" w:pos="2621"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that sells a participation shall, acting solely for this purpose as a non-fiduciary agent of the Borrower, maintain a register on which it enters the name and address of each Participant in such Lender’s Loans and the principal amounts (and stated interest) of each such Participant’s interest in such Lender’s Loans or other obligations under the Loan Documents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Lender shall have any obligation to disclose all or any portion of the Participant Register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0" w:lineRule="exact"/>
        <w:rPr>
          <w:sz w:val="20"/>
          <w:szCs w:val="20"/>
          <w:color w:val="auto"/>
        </w:rPr>
      </w:pPr>
    </w:p>
    <w:p>
      <w:pPr>
        <w:ind w:right="399" w:firstLine="1498"/>
        <w:spacing w:after="0" w:line="243"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Limitations upon Participant Rights</w:t>
      </w:r>
      <w:r>
        <w:rPr>
          <w:rFonts w:ascii="Times New Roman" w:cs="Times New Roman" w:eastAsia="Times New Roman" w:hAnsi="Times New Roman"/>
          <w:sz w:val="22"/>
          <w:szCs w:val="22"/>
          <w:color w:val="auto"/>
        </w:rPr>
        <w:t xml:space="preserve">. A Participant shall not be entitled to receive any greater payment under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than the applicable Lender would</w:t>
      </w:r>
    </w:p>
    <w:p>
      <w:pPr>
        <w:ind w:left="5100"/>
        <w:spacing w:after="0"/>
        <w:rPr>
          <w:sz w:val="20"/>
          <w:szCs w:val="20"/>
          <w:color w:val="auto"/>
        </w:rPr>
      </w:pPr>
      <w:r>
        <w:rPr>
          <w:rFonts w:ascii="Times New Roman" w:cs="Times New Roman" w:eastAsia="Times New Roman" w:hAnsi="Times New Roman"/>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79" w:name="page180"/>
    <w:bookmarkEnd w:id="179"/>
    <w:p>
      <w:pPr>
        <w:jc w:val="both"/>
        <w:ind w:right="399"/>
        <w:spacing w:after="0" w:line="235" w:lineRule="auto"/>
        <w:rPr>
          <w:sz w:val="20"/>
          <w:szCs w:val="20"/>
          <w:color w:val="auto"/>
        </w:rPr>
      </w:pPr>
      <w:r>
        <w:rPr>
          <w:rFonts w:ascii="Times New Roman" w:cs="Times New Roman" w:eastAsia="Times New Roman" w:hAnsi="Times New Roman"/>
          <w:sz w:val="22"/>
          <w:szCs w:val="22"/>
          <w:color w:val="auto"/>
        </w:rPr>
        <w:t xml:space="preserve">have been entitled to receive with respect to the participation sold to such Participant, unless the sale of the participation to such Participant is made with the Borrower’s prior written consent or to the extent such entitlement to receive a greater payment results from a Change in Law that occurs after the Participant acquired the applicable participation. A Participant that would be a Foreign Lender if it were a Lender shall not be entitled to the benefits of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as though it were a Lender and does in fact so comply therewith.</w:t>
      </w:r>
    </w:p>
    <w:p>
      <w:pPr>
        <w:spacing w:after="0" w:line="183"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at any time pledge or assign a security interest in all or any portion of its rights under this Agreement to secure obligations of such Lender, including, without limitation, any pledge or assignment to secure obligations to a Federal Reserve Bank or other central banking authority;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 or require any such pledgee or holder of a security interest to comply with </w:t>
      </w:r>
      <w:r>
        <w:rPr>
          <w:rFonts w:ascii="Times New Roman" w:cs="Times New Roman" w:eastAsia="Times New Roman" w:hAnsi="Times New Roman"/>
          <w:sz w:val="22"/>
          <w:szCs w:val="22"/>
          <w:u w:val="single" w:color="auto"/>
          <w:color w:val="auto"/>
        </w:rPr>
        <w:t>Section 12.04</w:t>
      </w:r>
      <w:r>
        <w:rPr>
          <w:rFonts w:ascii="Times New Roman" w:cs="Times New Roman" w:eastAsia="Times New Roman" w:hAnsi="Times New Roman"/>
          <w:sz w:val="22"/>
          <w:szCs w:val="22"/>
          <w:color w:val="auto"/>
        </w:rPr>
        <w:t xml:space="preserve"> prior to the enforcement of such pledge or assignment.</w:t>
      </w:r>
    </w:p>
    <w:p>
      <w:pPr>
        <w:spacing w:after="0" w:line="183"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Restrictions if Registration Required</w:t>
      </w:r>
      <w:r>
        <w:rPr>
          <w:rFonts w:ascii="Times New Roman" w:cs="Times New Roman" w:eastAsia="Times New Roman" w:hAnsi="Times New Roman"/>
          <w:sz w:val="22"/>
          <w:szCs w:val="22"/>
          <w:color w:val="auto"/>
        </w:rPr>
        <w:t xml:space="preserve">. Notwithstanding any other provisions of this </w:t>
      </w:r>
      <w:r>
        <w:rPr>
          <w:rFonts w:ascii="Times New Roman" w:cs="Times New Roman" w:eastAsia="Times New Roman" w:hAnsi="Times New Roman"/>
          <w:sz w:val="22"/>
          <w:szCs w:val="22"/>
          <w:u w:val="single" w:color="auto"/>
          <w:color w:val="auto"/>
        </w:rPr>
        <w:t>Section 12.04</w:t>
      </w:r>
      <w:r>
        <w:rPr>
          <w:rFonts w:ascii="Times New Roman" w:cs="Times New Roman" w:eastAsia="Times New Roman" w:hAnsi="Times New Roman"/>
          <w:sz w:val="22"/>
          <w:szCs w:val="22"/>
          <w:color w:val="auto"/>
        </w:rPr>
        <w:t>, no transfer or assignment of the interests or obligations of any Lender or any grant of participations therein shall be permitted if such transfer, assignment or grant would require the Borrower and the other Loan Parties to file a registration statement with the SEC or to qualify the Loans under the “Blue Sky” laws of any state.</w:t>
      </w:r>
    </w:p>
    <w:p>
      <w:pPr>
        <w:spacing w:after="0" w:line="177" w:lineRule="exact"/>
        <w:rPr>
          <w:sz w:val="20"/>
          <w:szCs w:val="20"/>
          <w:color w:val="auto"/>
        </w:rPr>
      </w:pPr>
    </w:p>
    <w:p>
      <w:pPr>
        <w:jc w:val="both"/>
        <w:ind w:right="399" w:firstLine="747"/>
        <w:spacing w:after="0" w:line="232" w:lineRule="auto"/>
        <w:rPr>
          <w:sz w:val="20"/>
          <w:szCs w:val="20"/>
          <w:color w:val="auto"/>
        </w:rPr>
      </w:pPr>
      <w:r>
        <w:rPr>
          <w:rFonts w:ascii="Times New Roman" w:cs="Times New Roman" w:eastAsia="Times New Roman" w:hAnsi="Times New Roman"/>
          <w:sz w:val="22"/>
          <w:szCs w:val="22"/>
          <w:color w:val="auto"/>
        </w:rPr>
        <w:t xml:space="preserve">Section 12.05 </w:t>
      </w:r>
      <w:r>
        <w:rPr>
          <w:rFonts w:ascii="Times New Roman" w:cs="Times New Roman" w:eastAsia="Times New Roman" w:hAnsi="Times New Roman"/>
          <w:sz w:val="22"/>
          <w:szCs w:val="22"/>
          <w:u w:val="single" w:color="auto"/>
          <w:color w:val="auto"/>
        </w:rPr>
        <w:t>Commodity Exchange Act Keepwell Provisions</w:t>
      </w:r>
      <w:r>
        <w:rPr>
          <w:rFonts w:ascii="Times New Roman" w:cs="Times New Roman" w:eastAsia="Times New Roman" w:hAnsi="Times New Roman"/>
          <w:sz w:val="22"/>
          <w:szCs w:val="22"/>
          <w:color w:val="auto"/>
        </w:rPr>
        <w:t>. The Borrower, to the extent that it is a Qualified ECP Guarantor, hereby guarantees the payment and performance of all Secured Obligations of each Loan Party (other than itself) and absolutely, unconditionally and irrevocably undertakes to provide such funds or other support as may be needed from time to time by each Loan Party (other than itself) in order for such Loan Party to honor its obligations under any Guaranty and Collateral Agreement to which it is a party including obligations with respect to Secured Hedging Agreements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Borrower, to the extent that it is a Qualified ECP Guarantor, shall only be liable under this Section for the maximum amount of such liability that can be hereby incurred (a) without rendering its obligations under this Section, or otherwise under this Agreement or any Loan Document, as it relates to such other Loan Parties, voidable under applicable law relating to fraudulent conveyance or fraudulent transfer, and not for any greater amount, and (b) without rendering such Loan Party liable for amounts to creditors, other than the Secured Parties, that such Loan Party would not otherwise have made available to such creditors if this Section was not in effect). The obligations of the Borrower, to the extent that it is a Qualified ECP Guarantor, under this Section shall remain in full force and effect until this Agreement is terminated in accordance with its terms. The Borrower intends that this Section constitute, and this Section shall be deemed to constitute, a “keepwell, support, or other agreement” for the benefit of each other Loan Party for all purposes of section 1a(18)(A)(v)(II) of the Commodity Exchange Act.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12.06 </w:t>
      </w:r>
      <w:r>
        <w:rPr>
          <w:rFonts w:ascii="Times New Roman" w:cs="Times New Roman" w:eastAsia="Times New Roman" w:hAnsi="Times New Roman"/>
          <w:sz w:val="22"/>
          <w:szCs w:val="22"/>
          <w:u w:val="single" w:color="auto"/>
          <w:color w:val="auto"/>
        </w:rPr>
        <w:t>Survival; Termination; Revival; Reinstatement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1498"/>
        <w:spacing w:after="0" w:line="243" w:lineRule="auto"/>
        <w:rPr>
          <w:sz w:val="20"/>
          <w:szCs w:val="20"/>
          <w:color w:val="auto"/>
        </w:rPr>
      </w:pPr>
      <w:r>
        <w:rPr>
          <w:rFonts w:ascii="Times New Roman" w:cs="Times New Roman" w:eastAsia="Times New Roman" w:hAnsi="Times New Roman"/>
          <w:sz w:val="22"/>
          <w:szCs w:val="22"/>
          <w:color w:val="auto"/>
        </w:rPr>
        <w:t>(a)All covenants, agreements, representations and warranties made by the Borrower herein and in the certificates or other instruments delivered in connection with or</w:t>
      </w:r>
    </w:p>
    <w:p>
      <w:pPr>
        <w:ind w:left="5100"/>
        <w:spacing w:after="0"/>
        <w:rPr>
          <w:sz w:val="20"/>
          <w:szCs w:val="20"/>
          <w:color w:val="auto"/>
        </w:rPr>
      </w:pPr>
      <w:r>
        <w:rPr>
          <w:rFonts w:ascii="Times New Roman" w:cs="Times New Roman" w:eastAsia="Times New Roman" w:hAnsi="Times New Roman"/>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80" w:name="page181"/>
    <w:bookmarkEnd w:id="180"/>
    <w:p>
      <w:pPr>
        <w:jc w:val="both"/>
        <w:ind w:right="399"/>
        <w:spacing w:after="0" w:line="232" w:lineRule="auto"/>
        <w:rPr>
          <w:sz w:val="20"/>
          <w:szCs w:val="20"/>
          <w:color w:val="auto"/>
        </w:rPr>
      </w:pPr>
      <w:r>
        <w:rPr>
          <w:rFonts w:ascii="Times New Roman" w:cs="Times New Roman" w:eastAsia="Times New Roman" w:hAnsi="Times New Roman"/>
          <w:sz w:val="22"/>
          <w:szCs w:val="22"/>
          <w:color w:val="auto"/>
        </w:rPr>
        <w:t xml:space="preserve">pursuant to this Agreement or any other Loan Document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other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12.03</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12.06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any other Loan Document or any provision hereof or thereof. Subject to the foregoing sentence, the Borrower may, in its discretion at any time following the Payment in Full of the Secured Obligations, elect in a written notice to the Administrative Agent to terminate this Agreement, whereupon, subject to this </w:t>
      </w:r>
      <w:r>
        <w:rPr>
          <w:rFonts w:ascii="Times New Roman" w:cs="Times New Roman" w:eastAsia="Times New Roman" w:hAnsi="Times New Roman"/>
          <w:sz w:val="22"/>
          <w:szCs w:val="22"/>
          <w:u w:val="single" w:color="auto"/>
          <w:color w:val="auto"/>
        </w:rPr>
        <w:t>Section 12.06</w:t>
      </w:r>
      <w:r>
        <w:rPr>
          <w:rFonts w:ascii="Times New Roman" w:cs="Times New Roman" w:eastAsia="Times New Roman" w:hAnsi="Times New Roman"/>
          <w:sz w:val="22"/>
          <w:szCs w:val="22"/>
          <w:color w:val="auto"/>
        </w:rPr>
        <w:t>, this Agreement and the other Loan Documents shall be terminated and the Loan Parties released from all prospective obligations hereunder and thereunder.</w:t>
      </w:r>
    </w:p>
    <w:p>
      <w:pPr>
        <w:spacing w:after="0" w:line="190" w:lineRule="exact"/>
        <w:rPr>
          <w:sz w:val="20"/>
          <w:szCs w:val="20"/>
          <w:color w:val="auto"/>
        </w:rPr>
      </w:pPr>
    </w:p>
    <w:p>
      <w:pPr>
        <w:jc w:val="both"/>
        <w:ind w:right="399" w:firstLine="1498"/>
        <w:spacing w:after="0" w:line="234" w:lineRule="auto"/>
        <w:rPr>
          <w:sz w:val="20"/>
          <w:szCs w:val="20"/>
          <w:color w:val="auto"/>
        </w:rPr>
      </w:pPr>
      <w:r>
        <w:rPr>
          <w:rFonts w:ascii="Times New Roman" w:cs="Times New Roman" w:eastAsia="Times New Roman" w:hAnsi="Times New Roman"/>
          <w:sz w:val="22"/>
          <w:szCs w:val="22"/>
          <w:color w:val="auto"/>
        </w:rPr>
        <w:t>(b)To the extent that any payments on the Secured Obligations or proceeds of any Collateral are subsequently invalidated, declared to be fraudulent or preferential, set aside or required to be repaid to a trustee, debtor in possession, receiver or other Person under any Debtor Relief Laws, common law or equitable cause, then to such extent, the Secured Obligations so satisfied shall be revived and continue as if such payment or proceeds had not been received and the Administrative Agent’s and the Lenders’ Liens, security interests, rights, powers and remedies under this Agreement and each Loan Document shall continue in full force and effect. In such event, each Loan Document shall be automatically reinstated and the Borrower shall take such action as may be reasonably requested by the Administrative Agent and the Lenders to effect such reinstatement.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12.07 </w:t>
      </w:r>
      <w:r>
        <w:rPr>
          <w:rFonts w:ascii="Times New Roman" w:cs="Times New Roman" w:eastAsia="Times New Roman" w:hAnsi="Times New Roman"/>
          <w:sz w:val="22"/>
          <w:szCs w:val="22"/>
          <w:u w:val="single" w:color="auto"/>
          <w:color w:val="auto"/>
        </w:rPr>
        <w:t>Counterparts; Integration; Effectiveness; Electronic Execution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1498"/>
        <w:spacing w:after="0" w:line="23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transmission or other electronic transmission (such as .pdf) shall be as effective as delivery of a manually executed counterpart of this Agreement.</w:t>
      </w:r>
    </w:p>
    <w:p>
      <w:pPr>
        <w:spacing w:after="0" w:line="177"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the other Loan Documents and any separate letter agreements with respect to fees payable to the Administrative Agent constitute the entire contract among the parties relating to the subject matter hereof and thereof and supersede any and all previous agreements and understandings, oral or written, relating to the subject matter hereof and thereof. THIS AGREEMENT AND THE OTHER LOAN DOCUMENTS REPRESENT THE FINAL AGREEMENT AMONG THE PARTIES HERETO AND THERETO AND MAY NOT BE CONTRADICTED BY EVIDENCE OF PRIOR, CONTEMPORANEOUS OR SUBSEQUENT ORAL AGREEMENTS OF THE PARTIES. THERE ARE NO UNWRITTEN ORAL AGREEMENTS BETWEEN THE PARTIES.</w:t>
      </w:r>
    </w:p>
    <w:p>
      <w:pPr>
        <w:spacing w:after="0" w:line="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81" w:name="page182"/>
    <w:bookmarkEnd w:id="181"/>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in electronic (i.e., “pdf” or “tif”) format shall be effective as delivery of a manually executed counterpart of this Agreement.</w:t>
      </w:r>
    </w:p>
    <w:p>
      <w:pPr>
        <w:spacing w:after="0" w:line="183" w:lineRule="exact"/>
        <w:rPr>
          <w:sz w:val="20"/>
          <w:szCs w:val="20"/>
          <w:color w:val="auto"/>
        </w:rPr>
      </w:pPr>
    </w:p>
    <w:p>
      <w:pPr>
        <w:jc w:val="both"/>
        <w:ind w:right="399" w:firstLine="1498"/>
        <w:spacing w:after="0" w:line="242" w:lineRule="auto"/>
        <w:rPr>
          <w:sz w:val="20"/>
          <w:szCs w:val="20"/>
          <w:color w:val="auto"/>
        </w:rPr>
      </w:pPr>
      <w:r>
        <w:rPr>
          <w:rFonts w:ascii="Times New Roman" w:cs="Times New Roman" w:eastAsia="Times New Roman" w:hAnsi="Times New Roman"/>
          <w:sz w:val="21"/>
          <w:szCs w:val="21"/>
          <w:color w:val="auto"/>
        </w:rPr>
        <w:t>(d)</w:t>
      </w:r>
      <w:r>
        <w:rPr>
          <w:rFonts w:ascii="Times New Roman" w:cs="Times New Roman" w:eastAsia="Times New Roman" w:hAnsi="Times New Roman"/>
          <w:sz w:val="21"/>
          <w:szCs w:val="21"/>
          <w:u w:val="single" w:color="auto"/>
          <w:color w:val="auto"/>
        </w:rPr>
        <w:t>Electronic Execution</w:t>
      </w:r>
      <w:r>
        <w:rPr>
          <w:rFonts w:ascii="Times New Roman" w:cs="Times New Roman" w:eastAsia="Times New Roman" w:hAnsi="Times New Roman"/>
          <w:sz w:val="21"/>
          <w:szCs w:val="21"/>
          <w:color w:val="auto"/>
        </w:rPr>
        <w:t xml:space="preserve">. The words “execute,” “execution,” “signed,” “signature,” “delivery” and words of like import in or related to this Agreement, any other Loan Document or any document, amendment, approval, consent, waiver, modification, information, notice, certificate, report, statement, disclosure, Communication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The Administrative Agent and each of the Loan Parties may, at its option, create one or more copies of any Communication in the form of an imaged Electronic Record, which shall be deemed created in the ordinary course of such Person’s business, and destroy the original paper document. All Communications in the form of an Electronic Record, including one or more copies of any Communication in the form of an imaged Electronic Record,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Loan Parties, electronic images of this Agreement or any other Loan Document (in each case, including with respect to any signature pages thereto) shall have the same legal effect, validity and enforceability as any paper original, and (B) waives (1) any argument,</w:t>
      </w:r>
    </w:p>
    <w:p>
      <w:pPr>
        <w:spacing w:after="0" w:line="25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82" w:name="page183"/>
    <w:bookmarkEnd w:id="182"/>
    <w:p>
      <w:pPr>
        <w:jc w:val="both"/>
        <w:ind w:right="399"/>
        <w:spacing w:after="0" w:line="234" w:lineRule="auto"/>
        <w:rPr>
          <w:sz w:val="20"/>
          <w:szCs w:val="20"/>
          <w:color w:val="auto"/>
        </w:rPr>
      </w:pPr>
      <w:r>
        <w:rPr>
          <w:rFonts w:ascii="Times New Roman" w:cs="Times New Roman" w:eastAsia="Times New Roman" w:hAnsi="Times New Roman"/>
          <w:sz w:val="22"/>
          <w:szCs w:val="22"/>
          <w:color w:val="auto"/>
        </w:rPr>
        <w:t>defense or right to contest the validity or enforceability of the Loan Documents based solely on the lack of paper original copies of any Loan Documents, including with respect to any signature pages thereto and (2) any claim against the Administrative Agent, any Lender or any of their Related Parties for liabilities arising solely from the Administrative Agent’s, any Lender’s or any of their Related Parties’ reliance on or use of Electronic Signatures, including any such liabilities arising as a result of the failure of the Loan Parties to use any available security measures in connection with the execution, delivery or transmission of any such Electronic Signature. Each party hereto acknowledges, represents and warrants to the other parties hereto that it has the corporate or other organizational capacity to execute and deliver this Agreement and any other Communication through electronic means as provided for herein and there are no restrictions or other limitations on doing so in such party’s Organization Documents.</w:t>
      </w:r>
    </w:p>
    <w:p>
      <w:pPr>
        <w:spacing w:after="0" w:line="179"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 xml:space="preserve">Section 12.08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77" w:lineRule="exact"/>
        <w:rPr>
          <w:sz w:val="20"/>
          <w:szCs w:val="20"/>
          <w:color w:val="auto"/>
        </w:rPr>
      </w:pPr>
    </w:p>
    <w:p>
      <w:pPr>
        <w:jc w:val="both"/>
        <w:ind w:right="399" w:firstLine="747"/>
        <w:spacing w:after="0" w:line="232" w:lineRule="auto"/>
        <w:rPr>
          <w:sz w:val="20"/>
          <w:szCs w:val="20"/>
          <w:color w:val="auto"/>
        </w:rPr>
      </w:pPr>
      <w:r>
        <w:rPr>
          <w:rFonts w:ascii="Times New Roman" w:cs="Times New Roman" w:eastAsia="Times New Roman" w:hAnsi="Times New Roman"/>
          <w:sz w:val="22"/>
          <w:szCs w:val="22"/>
          <w:color w:val="auto"/>
        </w:rPr>
        <w:t xml:space="preserve">Section 12.09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xml:space="preserve">. If an Event of Default shall have occurred and be continuing, each Lender, the Issuing Bank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(of whatsoever kind, including, without limitations obligations under Hedging Agreements, and in whatever currency) at any time owing by such Lender, the Issuing Bank or any such Affiliate to or for the credit or the account of the Borrower or any other Loan Party against any and all of the obligations of the Borrower or any other Loan Party now or hereafter existing under this Agreement or any other Loan Document to such Lender or the Issuing Bank, irrespective of whether or not such Lender or the Issuing Bank shall have made any demand under this Agreement or any other Loan Document and although such obligations of the Borrower or such other Loan Party may be contingent or unmatured or are owed to a branch or office of such Lender or the Issuing Bank different from the branch or office holding such deposit or obligated on such Indebtedness. The rights of each Lender, the Issuing Bank and their respective Affiliates under this </w:t>
      </w:r>
      <w:r>
        <w:rPr>
          <w:rFonts w:ascii="Times New Roman" w:cs="Times New Roman" w:eastAsia="Times New Roman" w:hAnsi="Times New Roman"/>
          <w:sz w:val="22"/>
          <w:szCs w:val="22"/>
          <w:u w:val="single" w:color="auto"/>
          <w:color w:val="auto"/>
        </w:rPr>
        <w:t>Section 12.09</w:t>
      </w:r>
      <w:r>
        <w:rPr>
          <w:rFonts w:ascii="Times New Roman" w:cs="Times New Roman" w:eastAsia="Times New Roman" w:hAnsi="Times New Roman"/>
          <w:sz w:val="22"/>
          <w:szCs w:val="22"/>
          <w:color w:val="auto"/>
        </w:rPr>
        <w:t xml:space="preserve"> are in addition to other rights and remedies (including other rights of setoff) that such Lender, the Issuing Bank or their respective Affiliates may have. Each Lender and the Issuing Bank agrees to notify the Borrower and the Administrative Agent promptly after any such setoff and application;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188" w:lineRule="exact"/>
        <w:rPr>
          <w:sz w:val="20"/>
          <w:szCs w:val="20"/>
          <w:color w:val="auto"/>
        </w:rPr>
      </w:pPr>
    </w:p>
    <w:p>
      <w:pPr>
        <w:jc w:val="both"/>
        <w:ind w:right="419" w:firstLine="747"/>
        <w:spacing w:after="0" w:line="258" w:lineRule="auto"/>
        <w:rPr>
          <w:sz w:val="20"/>
          <w:szCs w:val="20"/>
          <w:color w:val="auto"/>
        </w:rPr>
      </w:pPr>
      <w:r>
        <w:rPr>
          <w:rFonts w:ascii="Times New Roman" w:cs="Times New Roman" w:eastAsia="Times New Roman" w:hAnsi="Times New Roman"/>
          <w:sz w:val="22"/>
          <w:szCs w:val="22"/>
          <w:color w:val="auto"/>
        </w:rPr>
        <w:t xml:space="preserve">Section 12.10 </w:t>
      </w:r>
      <w:r>
        <w:rPr>
          <w:rFonts w:ascii="Times New Roman" w:cs="Times New Roman" w:eastAsia="Times New Roman" w:hAnsi="Times New Roman"/>
          <w:sz w:val="22"/>
          <w:szCs w:val="22"/>
          <w:u w:val="single" w:color="auto"/>
          <w:color w:val="auto"/>
        </w:rPr>
        <w:t>GOVERNING LAW; JURISDICTION; CONSENT TO SERVICE OF PROCESS;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WAIVERS OF JURY TRIAL AND CERTAIN DAMAGES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right="399" w:firstLine="1498"/>
        <w:spacing w:after="0" w:line="236"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THIS AGREEMENT AND, EXCEPT AS SET FORTH THEREIN, THE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LOAN DOCUMENTS SHALL BE GOVERNED BY, AND CONSTRUED IN ACCORDANCE WITH, THE LAWS OF THE STATE OF NEW YORK (INCLUDING SECTION 5-1401 AND SECTION 5-1402 OF THE GENERAL OBLIGATIONS LAW OF THE STATE OF NEW YORK), WITHOUT REFERENCE TO ANY OTHER CONFLICTS</w:t>
      </w:r>
    </w:p>
    <w:p>
      <w:pPr>
        <w:spacing w:after="0" w:line="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83" w:name="page184"/>
    <w:bookmarkEnd w:id="183"/>
    <w:p>
      <w:pPr>
        <w:jc w:val="both"/>
        <w:ind w:right="399"/>
        <w:spacing w:after="0" w:line="241" w:lineRule="auto"/>
        <w:rPr>
          <w:sz w:val="20"/>
          <w:szCs w:val="20"/>
          <w:color w:val="auto"/>
        </w:rPr>
      </w:pPr>
      <w:r>
        <w:rPr>
          <w:rFonts w:ascii="Times New Roman" w:cs="Times New Roman" w:eastAsia="Times New Roman" w:hAnsi="Times New Roman"/>
          <w:sz w:val="22"/>
          <w:szCs w:val="22"/>
          <w:b w:val="1"/>
          <w:bCs w:val="1"/>
          <w:color w:val="auto"/>
        </w:rPr>
        <w:t>OR CHOICE OF LAW PRINCIPLES THEREOF, EXCEPT TO THE EXTENT THAT UNITED STATES FEDERAL LAW PERMITS ANY LENDER TO CONTRACT FOR, CHARGE, RECEIVE, RESERVE OR TAKE INTEREST AT THE RATE ALLOWED BY THE LAWS OF THE STATE WHERE SUCH LENDER IS LOCATED.</w:t>
      </w:r>
    </w:p>
    <w:p>
      <w:pPr>
        <w:spacing w:after="0" w:line="172"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color w:val="auto"/>
        </w:rPr>
        <w:t>ANY LEGAL ACTION OR PROCEEDING WITH RESPECT TO THE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DOCUMENTS SHALL BE BROUGHT IN THE U.S. DISTRICT COURT FOR THE SOUTHERN DISTRICT OF NEW YORK OR, IF SUCH COURT DOES NOT HAVE SUBJECT MATTER JURISDICTION, IN ANY STATE COURT LOCATED IN THE BOROUGH OF MANHATTAN, AND, BY EXECUTION AND DELIVERY OF THIS AGREEMENT, EACH PARTY HEREBY ACCEPTS FOR ITSELF AND (TO THE EXTENT PERMITTED BY LAW) IN RESPECT OF ITS PROPERTY, GENERALLY AND UNCONDITIONALLY, THE JURISDICTION OF THE AFORESAID COURTS.</w:t>
      </w:r>
    </w:p>
    <w:p>
      <w:pPr>
        <w:spacing w:after="0" w:line="178" w:lineRule="exact"/>
        <w:rPr>
          <w:sz w:val="20"/>
          <w:szCs w:val="20"/>
          <w:color w:val="auto"/>
        </w:rPr>
      </w:pPr>
    </w:p>
    <w:p>
      <w:pPr>
        <w:jc w:val="both"/>
        <w:ind w:right="399" w:firstLine="1498"/>
        <w:spacing w:after="0" w:line="232"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b w:val="1"/>
          <w:bCs w:val="1"/>
          <w:color w:val="auto"/>
        </w:rPr>
        <w:t>EACH PARTY HEREBY IRREVOCABLY WAIVES ANY OBJECTION,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INCLUDING, WITHOUT LIMITATION, ANY OBJECTION TO THE LAYING OF VENUE OR BASED ON THE GROUNDS OF FORUM NON CONVENIENS, WHICH IT MAY NOW OR HEREAFTER HAVE TO THE BRINGING OF ANY SUCH ACTION OR PROCEEDING IN SUCH RESPECTIVE JURISDICTIONS. THIS SUBMISSION TO JURISDICTION IS NON-EXCLUSIVE AND DOES NOT PRECLUDE A PARTY FROM OBTAINING JURISDICTION OVER ANOTHER PARTY IN ANY COURT OTHERWISE HAVING JURISDICTION. EACH PARTY IRREVOCABLY CONSENTS TO THE SERVICE OF PROCESS OF ANY OF THE AFOREMENTIONED COURTS IN ANY SUCH ACTION OR PROCEEDING BY THE MAILING OF COPIES THEREOF BY REGISTERED OR CERTIFIED MAIL, POSTAGE PREPAID, TO IT AT THE ADDRESS SPECIFIED IN </w:t>
      </w:r>
      <w:r>
        <w:rPr>
          <w:rFonts w:ascii="Times New Roman" w:cs="Times New Roman" w:eastAsia="Times New Roman" w:hAnsi="Times New Roman"/>
          <w:sz w:val="22"/>
          <w:szCs w:val="22"/>
          <w:b w:val="1"/>
          <w:bCs w:val="1"/>
          <w:u w:val="single" w:color="auto"/>
          <w:color w:val="auto"/>
        </w:rPr>
        <w:t>SECTION 12.01</w:t>
      </w:r>
      <w:r>
        <w:rPr>
          <w:rFonts w:ascii="Times New Roman" w:cs="Times New Roman" w:eastAsia="Times New Roman" w:hAnsi="Times New Roman"/>
          <w:sz w:val="22"/>
          <w:szCs w:val="22"/>
          <w:b w:val="1"/>
          <w:bCs w:val="1"/>
          <w:color w:val="auto"/>
        </w:rPr>
        <w:t xml:space="preserve"> OR SUCH OTHER ADDRESS AS IS SPECIFIED PURSUANT TO </w:t>
      </w:r>
      <w:r>
        <w:rPr>
          <w:rFonts w:ascii="Times New Roman" w:cs="Times New Roman" w:eastAsia="Times New Roman" w:hAnsi="Times New Roman"/>
          <w:sz w:val="22"/>
          <w:szCs w:val="22"/>
          <w:b w:val="1"/>
          <w:bCs w:val="1"/>
          <w:u w:val="single" w:color="auto"/>
          <w:color w:val="auto"/>
        </w:rPr>
        <w:t>SECTION 12.01</w:t>
      </w:r>
      <w:r>
        <w:rPr>
          <w:rFonts w:ascii="Times New Roman" w:cs="Times New Roman" w:eastAsia="Times New Roman" w:hAnsi="Times New Roman"/>
          <w:sz w:val="22"/>
          <w:szCs w:val="22"/>
          <w:b w:val="1"/>
          <w:bCs w:val="1"/>
          <w:color w:val="auto"/>
        </w:rPr>
        <w:t xml:space="preserve"> (OR ITS ASSIGNMENT AND ASSUMPTION), SUCH SERVICE TO BECOME EFFECTIVE THIRTY (30) DAYS AFTER SUCH MAILING (OR AS SOON THEREAFTER AS IS PROVIDED BY APPLICABLE LAW). NOTHING HEREIN SHALL AFFECT THE RIGHT OF A PARTY OR ANY HOLDER OF A NOTE TO SERVE PROCESS IN ANY OTHER MANNER PERMITTED BY LAW OR TO COMMENCE LEGAL PROCEEDINGS OR OTHERWISE PROCEED AGAINST ANOTHER PARTY IN ANY OTHER JURISDICTION.</w:t>
      </w:r>
    </w:p>
    <w:p>
      <w:pPr>
        <w:spacing w:after="0" w:line="188"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b w:val="1"/>
          <w:bCs w:val="1"/>
          <w:color w:val="auto"/>
        </w:rPr>
        <w:t>EACH PARTY HEREBY (i) IRREVOCABLY AND UNCONDITIONALLY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WAIVES, TO THE FULLEST EXTENT PERMITTED BY APPLICABLE LAW, ANY RIGHT IT MAY HAVE TO A TRIAL BY JURY IN ANY LEGAL ACTION OR PROCEEDING DIRECTLY OR INDIRECTLY ARISING OUT OF OR RELATING TO THIS AGREEMENT OR ANY OTHER LOAN DOCUMENT OR THE TRANSACTIONS CONTEMPLATED HEREBY OR THEREBY (WHETHER BASED ON CONTRACT, TORT OR ANY OTHER THEORY) AND FOR ANY COUNTERCLAIM THEREIN; (ii) IRREVOCABLY WAIVES TO THE FULLEST EXTENT PERMITTED BY APPLICABLE LAW ANY RIGHT IT MAY HAVE TO CLAIM OR RECOVER IN ANY SUCH LITIGATION ANY SPECIAL, EXEMPLARY, PUNITIVE OR CONSEQUENTIAL DAMAGES, OR DAMAGES OTHER THAN, OR IN ADDITION TO, ACTUAL DAMAGES; PROVIDED THAT THE LOAN PARTIES’</w:t>
      </w:r>
    </w:p>
    <w:p>
      <w:pPr>
        <w:spacing w:after="0" w:line="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48" w:right="1440" w:bottom="1440" w:gutter="0" w:footer="0" w:header="0"/>
        </w:sectPr>
      </w:pPr>
    </w:p>
    <w:bookmarkStart w:id="184" w:name="page185"/>
    <w:bookmarkEnd w:id="184"/>
    <w:p>
      <w:pPr>
        <w:jc w:val="both"/>
        <w:ind w:right="399"/>
        <w:spacing w:after="0" w:line="235" w:lineRule="auto"/>
        <w:rPr>
          <w:sz w:val="20"/>
          <w:szCs w:val="20"/>
          <w:color w:val="auto"/>
        </w:rPr>
      </w:pPr>
      <w:r>
        <w:rPr>
          <w:rFonts w:ascii="Times New Roman" w:cs="Times New Roman" w:eastAsia="Times New Roman" w:hAnsi="Times New Roman"/>
          <w:sz w:val="22"/>
          <w:szCs w:val="22"/>
          <w:b w:val="1"/>
          <w:bCs w:val="1"/>
          <w:color w:val="auto"/>
        </w:rPr>
        <w:t>INDEMNIFICATION OBLIGATIONS HEREUNDER AND UNDER THE OTHER LOAN DOCUMENTS SHALL NOT BE LIMITED TO THE EXTENT SUCH SPECIAL, INDIRECT, CONSEQUENTIAL OR PUNITIVE DAMAGES ARE INCLUDED IN ANY THIRD PARTY CLAIM IN CONNECTION WITH WHICH ANY INDEMNITEE IS OTHERWISE ENTITLED TO INDEMNIFICATION HEREUNDER OR UNDER ANY OTHER LOAN DOCUMENT; (iii)</w:t>
      </w:r>
    </w:p>
    <w:p>
      <w:pPr>
        <w:spacing w:after="0" w:line="4" w:lineRule="exact"/>
        <w:rPr>
          <w:sz w:val="20"/>
          <w:szCs w:val="20"/>
          <w:color w:val="auto"/>
        </w:rPr>
      </w:pPr>
    </w:p>
    <w:p>
      <w:pPr>
        <w:jc w:val="both"/>
        <w:ind w:right="399"/>
        <w:spacing w:after="0" w:line="230" w:lineRule="auto"/>
        <w:rPr>
          <w:sz w:val="20"/>
          <w:szCs w:val="20"/>
          <w:color w:val="auto"/>
        </w:rPr>
      </w:pPr>
      <w:r>
        <w:rPr>
          <w:rFonts w:ascii="Times New Roman" w:cs="Times New Roman" w:eastAsia="Times New Roman" w:hAnsi="Times New Roman"/>
          <w:sz w:val="22"/>
          <w:szCs w:val="22"/>
          <w:b w:val="1"/>
          <w:bCs w:val="1"/>
          <w:color w:val="auto"/>
        </w:rPr>
        <w:t>CERTIFIES THAT NO REPRESENTATIVE, AGENT OR ATTORNEY OF ANY OTHER PERSON HAS REPRESENTED, EXPRESSLY OR OTHERWISE, THAT SUCH OTHER PERSON WOULD NOT, IN THE EVENT OF LITIGATION, SEEK TO ENFORCE THE FOREGOING WAIVERS, AND</w:t>
      </w:r>
    </w:p>
    <w:p>
      <w:pPr>
        <w:spacing w:after="0" w:line="2" w:lineRule="exact"/>
        <w:rPr>
          <w:sz w:val="20"/>
          <w:szCs w:val="20"/>
          <w:color w:val="auto"/>
        </w:rPr>
      </w:pPr>
    </w:p>
    <w:p>
      <w:pPr>
        <w:jc w:val="both"/>
        <w:ind w:right="399" w:firstLine="2"/>
        <w:spacing w:after="0" w:line="247" w:lineRule="auto"/>
        <w:tabs>
          <w:tab w:leader="none" w:pos="464" w:val="left"/>
        </w:tabs>
        <w:numPr>
          <w:ilvl w:val="0"/>
          <w:numId w:val="1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ACKNOWLEDGES THAT IT AND THE OTHER PARTIES HERETO HAVE BEEN INDUCED TO ENTER INTO THIS AGREEMENT, THE LOAN DOCUMENTS AND THE TRANSACTIONS CONTEMPLATED HEREBY AND THEREBY BY, AMONG OTHER THINGS, THE MUTUAL WAIVERS AND CERTIFICATIONS CONTAINED IN THIS </w:t>
      </w:r>
      <w:r>
        <w:rPr>
          <w:rFonts w:ascii="Times New Roman" w:cs="Times New Roman" w:eastAsia="Times New Roman" w:hAnsi="Times New Roman"/>
          <w:sz w:val="21"/>
          <w:szCs w:val="21"/>
          <w:b w:val="1"/>
          <w:bCs w:val="1"/>
          <w:u w:val="single" w:color="auto"/>
          <w:color w:val="auto"/>
        </w:rPr>
        <w:t>SECTION 12.10</w:t>
      </w:r>
      <w:r>
        <w:rPr>
          <w:rFonts w:ascii="Times New Roman" w:cs="Times New Roman" w:eastAsia="Times New Roman" w:hAnsi="Times New Roman"/>
          <w:sz w:val="21"/>
          <w:szCs w:val="21"/>
          <w:b w:val="1"/>
          <w:bCs w:val="1"/>
          <w:color w:val="auto"/>
        </w:rPr>
        <w:t>.</w:t>
      </w:r>
    </w:p>
    <w:p>
      <w:pPr>
        <w:spacing w:after="0" w:line="170" w:lineRule="exact"/>
        <w:rPr>
          <w:sz w:val="20"/>
          <w:szCs w:val="20"/>
          <w:color w:val="auto"/>
        </w:rPr>
      </w:pPr>
    </w:p>
    <w:p>
      <w:pPr>
        <w:jc w:val="both"/>
        <w:ind w:right="399" w:firstLine="747"/>
        <w:spacing w:after="0" w:line="244" w:lineRule="auto"/>
        <w:rPr>
          <w:sz w:val="20"/>
          <w:szCs w:val="20"/>
          <w:color w:val="auto"/>
        </w:rPr>
      </w:pPr>
      <w:r>
        <w:rPr>
          <w:rFonts w:ascii="Times New Roman" w:cs="Times New Roman" w:eastAsia="Times New Roman" w:hAnsi="Times New Roman"/>
          <w:sz w:val="22"/>
          <w:szCs w:val="22"/>
          <w:color w:val="auto"/>
        </w:rPr>
        <w:t xml:space="preserve">Section 12.11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3" w:lineRule="exact"/>
        <w:rPr>
          <w:sz w:val="20"/>
          <w:szCs w:val="20"/>
          <w:color w:val="auto"/>
        </w:rPr>
      </w:pPr>
    </w:p>
    <w:p>
      <w:pPr>
        <w:jc w:val="both"/>
        <w:ind w:right="399" w:firstLine="747"/>
        <w:spacing w:after="0" w:line="242" w:lineRule="auto"/>
        <w:rPr>
          <w:sz w:val="20"/>
          <w:szCs w:val="20"/>
          <w:color w:val="auto"/>
        </w:rPr>
      </w:pPr>
      <w:r>
        <w:rPr>
          <w:rFonts w:ascii="Times New Roman" w:cs="Times New Roman" w:eastAsia="Times New Roman" w:hAnsi="Times New Roman"/>
          <w:sz w:val="21"/>
          <w:szCs w:val="21"/>
          <w:color w:val="auto"/>
        </w:rPr>
        <w:t xml:space="preserve">Section 12.12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Each of the Administrative Agent, the Issuing Bank and the Lenders agrees to maintain the confidentiality of the Information (as defined below), except that Information may be disclosed (a) to its Affiliates and to its and its Affiliates’ respective partners, directors, officers, employees, agents, counsel, accountants, advisors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to this Agreement or any other Loan Document,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21"/>
          <w:szCs w:val="21"/>
          <w:u w:val="single" w:color="auto"/>
          <w:color w:val="auto"/>
        </w:rPr>
        <w:t>Section 12.12</w:t>
      </w:r>
      <w:r>
        <w:rPr>
          <w:rFonts w:ascii="Times New Roman" w:cs="Times New Roman" w:eastAsia="Times New Roman" w:hAnsi="Times New Roman"/>
          <w:sz w:val="21"/>
          <w:szCs w:val="21"/>
          <w:color w:val="auto"/>
        </w:rPr>
        <w:t xml:space="preserve">, to (i) any assignee of or Participant in, or any prospective assignee of or Participant in, any of its rights or obligations under this Agreement or (ii) any actual or prospective counterparty (or its advisors) to any Hedging Agreement relating to any Loan Party and its obligations, (g) with the consent of the Borrower, (h) to the extent such Information (i) becomes publicly available other than as a result of a breach of this </w:t>
      </w:r>
      <w:r>
        <w:rPr>
          <w:rFonts w:ascii="Times New Roman" w:cs="Times New Roman" w:eastAsia="Times New Roman" w:hAnsi="Times New Roman"/>
          <w:sz w:val="21"/>
          <w:szCs w:val="21"/>
          <w:u w:val="single" w:color="auto"/>
          <w:color w:val="auto"/>
        </w:rPr>
        <w:t>Section 12.12</w:t>
      </w:r>
      <w:r>
        <w:rPr>
          <w:rFonts w:ascii="Times New Roman" w:cs="Times New Roman" w:eastAsia="Times New Roman" w:hAnsi="Times New Roman"/>
          <w:sz w:val="21"/>
          <w:szCs w:val="21"/>
          <w:color w:val="auto"/>
        </w:rPr>
        <w:t xml:space="preserve"> or (ii) becomes available to the Administrative Agent, the Issuing Bank, any Lender or any of their respective Affiliates on a nonconfidential basis from a source other than a Loan Party (so long as the Administrative Agent, the Issuing Bank, such Lender or such Affiliate, as applicable, has no knowledge that such source is not lawfully able to disclose such obligation without violating any duty of confidentiality to any Loan Party), (i) to any nationally recognized rating agency that requires access to information about a Lender’s investment portfolio in connection with ratings issued with respect to such Lender, (j) any actual or prospective credit insurers, and (k) any actual or prospective brokers. For purposes of this </w:t>
      </w:r>
      <w:r>
        <w:rPr>
          <w:rFonts w:ascii="Times New Roman" w:cs="Times New Roman" w:eastAsia="Times New Roman" w:hAnsi="Times New Roman"/>
          <w:sz w:val="21"/>
          <w:szCs w:val="21"/>
          <w:u w:val="single" w:color="auto"/>
          <w:color w:val="auto"/>
        </w:rPr>
        <w:t>Section 12.12</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means all information received from any Loan Party relating to any Loan Party or any of their respective businesses, other than any such information that is available to the Administrative Agent, the Issuing Bank or</w:t>
      </w:r>
    </w:p>
    <w:p>
      <w:pPr>
        <w:spacing w:after="0" w:line="25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48" w:right="1440" w:bottom="1440" w:gutter="0" w:footer="0" w:header="0"/>
        </w:sectPr>
      </w:pPr>
    </w:p>
    <w:bookmarkStart w:id="185" w:name="page186"/>
    <w:bookmarkEnd w:id="185"/>
    <w:p>
      <w:pPr>
        <w:jc w:val="both"/>
        <w:ind w:right="399"/>
        <w:spacing w:after="0" w:line="233" w:lineRule="auto"/>
        <w:rPr>
          <w:sz w:val="20"/>
          <w:szCs w:val="20"/>
          <w:color w:val="auto"/>
        </w:rPr>
      </w:pPr>
      <w:r>
        <w:rPr>
          <w:rFonts w:ascii="Times New Roman" w:cs="Times New Roman" w:eastAsia="Times New Roman" w:hAnsi="Times New Roman"/>
          <w:sz w:val="22"/>
          <w:szCs w:val="22"/>
          <w:color w:val="auto"/>
        </w:rPr>
        <w:t xml:space="preserve">any Lender on a nonconfidential basis prior to disclosure by a Loan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information received from any Loan Party after the date hereof, such information is either delivered pursuant to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 (d)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or is clearly identified at the time of delivery as confidential. Any Person required to maintain the confidentiality of Information as provided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12.12</w:t>
      </w:r>
      <w:r>
        <w:rPr>
          <w:rFonts w:ascii="Times New Roman" w:cs="Times New Roman" w:eastAsia="Times New Roman" w:hAnsi="Times New Roman"/>
          <w:sz w:val="22"/>
          <w:szCs w:val="22"/>
          <w:color w:val="auto"/>
        </w:rPr>
        <w:t xml:space="preserve"> shall be considered to have complied with its obligation to do so if such Person has exercised the same degree of care to maintain the confidentiality of such Information as such Person would accord to its own confidential information. Notwithstanding anything to the contrary in this </w:t>
      </w:r>
      <w:r>
        <w:rPr>
          <w:rFonts w:ascii="Times New Roman" w:cs="Times New Roman" w:eastAsia="Times New Roman" w:hAnsi="Times New Roman"/>
          <w:sz w:val="22"/>
          <w:szCs w:val="22"/>
          <w:u w:val="single" w:color="auto"/>
          <w:color w:val="auto"/>
        </w:rPr>
        <w:t>Section 12.12</w:t>
      </w:r>
      <w:r>
        <w:rPr>
          <w:rFonts w:ascii="Times New Roman" w:cs="Times New Roman" w:eastAsia="Times New Roman" w:hAnsi="Times New Roman"/>
          <w:sz w:val="22"/>
          <w:szCs w:val="22"/>
          <w:color w:val="auto"/>
        </w:rPr>
        <w:t>, the Administrative Agent and the Lenders may disclose the existence of this Agreement and information about this Agreement to market data collectors, similar service providers to the lending industry, and service providers to the Agents and the Lenders in connection with the administration of this Agreement, the other Loan Documents, and the Commitments. For the avoidance of doubt, nothing in this Agreement prohibits or restricts any individual from communicating or disclosing information regarding suspected violations of laws, rules or regulations to any governmental, regulatory or self-regulatory authority without notification to any Person.</w:t>
      </w:r>
    </w:p>
    <w:p>
      <w:pPr>
        <w:spacing w:after="0" w:line="184" w:lineRule="exact"/>
        <w:rPr>
          <w:sz w:val="20"/>
          <w:szCs w:val="20"/>
          <w:color w:val="auto"/>
        </w:rPr>
      </w:pPr>
    </w:p>
    <w:p>
      <w:pPr>
        <w:jc w:val="both"/>
        <w:ind w:right="399" w:firstLine="747"/>
        <w:spacing w:after="0" w:line="231" w:lineRule="auto"/>
        <w:rPr>
          <w:sz w:val="20"/>
          <w:szCs w:val="20"/>
          <w:color w:val="auto"/>
        </w:rPr>
      </w:pPr>
      <w:r>
        <w:rPr>
          <w:rFonts w:ascii="Times New Roman" w:cs="Times New Roman" w:eastAsia="Times New Roman" w:hAnsi="Times New Roman"/>
          <w:sz w:val="22"/>
          <w:szCs w:val="22"/>
          <w:color w:val="auto"/>
        </w:rPr>
        <w:t xml:space="preserve">Section 12.13 </w:t>
      </w:r>
      <w:r>
        <w:rPr>
          <w:rFonts w:ascii="Times New Roman" w:cs="Times New Roman" w:eastAsia="Times New Roman" w:hAnsi="Times New Roman"/>
          <w:sz w:val="22"/>
          <w:szCs w:val="22"/>
          <w:u w:val="single" w:color="auto"/>
          <w:color w:val="auto"/>
        </w:rPr>
        <w:t>Interest Rate Limitation</w:t>
      </w:r>
      <w:r>
        <w:rPr>
          <w:rFonts w:ascii="Times New Roman" w:cs="Times New Roman" w:eastAsia="Times New Roman" w:hAnsi="Times New Roman"/>
          <w:sz w:val="22"/>
          <w:szCs w:val="22"/>
          <w:color w:val="auto"/>
        </w:rPr>
        <w:t xml:space="preserve">. It is the intention of the parties hereto that each Lender shall conform strictly to usury laws applicable to it. Accordingly, if the Transactions contemplated hereby would be usurious as to any Lender under laws applicable to it (including the laws of the United States and the State of New York or any other jurisdiction whose laws may be mandatorily applicable to such Lender notwithstanding the other provisions of this Agreement), then, in that event, notwithstanding anything to the contrary in any of the Loan Documents or any agreement entered into in connection with or as security for the Secured Obligations, it is agreed as follows: (a) the aggregate of all consideration that constitutes interest under law applicable to any Lender that is contracted for, taken, reserved, charged or received by such Lender under any of the Loan Documents or agreements or otherwise in connection with the Loans shall under no circumstances exceed the maximum amount allowed by such applicable law, and any excess shall be canceled automatically and if theretofore paid shall be credited by such Lender on the principal amount of the Secured Obligations (or, to the extent that the principal amount of the Secured Obligations shall have been or would thereby be paid in full, refunded by such Lender to the Borrower); and (b) in the event that the maturity of the Loans is accelerated by reason of an election of the holder thereof resulting from any Event of Default under this Agreement or otherwise, or in the event of any required or permitted prepayment, then such consideration that constitutes interest under law applicable to any Lender may never include more than the maximum amount allowed by such applicable law, and excess interest, if any, provided for in this Agreement or otherwise shall be canceled automatically by such Lender as of the date of such acceleration or prepayment and, if theretofore paid, shall be credited by such Lender on the principal amount of the Secured Obligations (or, to the extent that the principal amount of the Secured Obligations shall have been or would thereby be paid in full, refunded by such Lender to the Borrower). All sums paid or agreed to be paid to any Lender for the use, forbearance or detention of sums due hereunder shall, to the extent permitted by law applicable to such Lender, be amortized, prorated, allocated and spread throughout the stated term of the Loans until payment in full so that the rate or amount of interest on account of any Loans hereunder does not exceed the maximum amount allowed by such applicable law. If at any time and from time to time (i) the amount of interest payable to any Lender on any date shall be computed at the Highest Lawful Rate applicable to such Lender pursuant to this </w:t>
      </w:r>
      <w:r>
        <w:rPr>
          <w:rFonts w:ascii="Times New Roman" w:cs="Times New Roman" w:eastAsia="Times New Roman" w:hAnsi="Times New Roman"/>
          <w:sz w:val="22"/>
          <w:szCs w:val="22"/>
          <w:u w:val="single" w:color="auto"/>
          <w:color w:val="auto"/>
        </w:rPr>
        <w:t>Section 12.13</w:t>
      </w:r>
      <w:r>
        <w:rPr>
          <w:rFonts w:ascii="Times New Roman" w:cs="Times New Roman" w:eastAsia="Times New Roman" w:hAnsi="Times New Roman"/>
          <w:sz w:val="22"/>
          <w:szCs w:val="22"/>
          <w:color w:val="auto"/>
        </w:rPr>
        <w:t xml:space="preserve"> and (ii) in respect of any subsequent interest computation period the amount of interest otherwise payable to such Lender would be less than the amount of interest</w:t>
      </w:r>
    </w:p>
    <w:p>
      <w:pPr>
        <w:spacing w:after="0" w:line="1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48" w:right="1440" w:bottom="1440" w:gutter="0" w:footer="0" w:header="0"/>
        </w:sectPr>
      </w:pPr>
    </w:p>
    <w:bookmarkStart w:id="186" w:name="page187"/>
    <w:bookmarkEnd w:id="186"/>
    <w:p>
      <w:pPr>
        <w:jc w:val="both"/>
        <w:ind w:right="399"/>
        <w:spacing w:after="0" w:line="238" w:lineRule="auto"/>
        <w:rPr>
          <w:sz w:val="20"/>
          <w:szCs w:val="20"/>
          <w:color w:val="auto"/>
        </w:rPr>
      </w:pPr>
      <w:r>
        <w:rPr>
          <w:rFonts w:ascii="Times New Roman" w:cs="Times New Roman" w:eastAsia="Times New Roman" w:hAnsi="Times New Roman"/>
          <w:sz w:val="22"/>
          <w:szCs w:val="22"/>
          <w:color w:val="auto"/>
        </w:rPr>
        <w:t xml:space="preserve">payable to such Lender computed at the Highest Lawful Rate applicable to such Lender, then the amount of interest payable to such Lender in respect of such subsequent interest computation period shall continue to be computed at the Highest Lawful Rate applicable to such Lender until the total amount of interest payable to such Lender shall equal the total amount of interest that would have been payable to such Lender if the total amount of interest had been computed without giving effect to this </w:t>
      </w:r>
      <w:r>
        <w:rPr>
          <w:rFonts w:ascii="Times New Roman" w:cs="Times New Roman" w:eastAsia="Times New Roman" w:hAnsi="Times New Roman"/>
          <w:sz w:val="22"/>
          <w:szCs w:val="22"/>
          <w:u w:val="single" w:color="auto"/>
          <w:color w:val="auto"/>
        </w:rPr>
        <w:t>Section 12.13</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right="399" w:firstLine="747"/>
        <w:spacing w:after="0" w:line="232" w:lineRule="auto"/>
        <w:rPr>
          <w:sz w:val="20"/>
          <w:szCs w:val="20"/>
          <w:color w:val="auto"/>
        </w:rPr>
      </w:pPr>
      <w:r>
        <w:rPr>
          <w:rFonts w:ascii="Times New Roman" w:cs="Times New Roman" w:eastAsia="Times New Roman" w:hAnsi="Times New Roman"/>
          <w:sz w:val="22"/>
          <w:szCs w:val="22"/>
          <w:color w:val="auto"/>
        </w:rPr>
        <w:t xml:space="preserve">Section 12.14 </w:t>
      </w:r>
      <w:r>
        <w:rPr>
          <w:rFonts w:ascii="Times New Roman" w:cs="Times New Roman" w:eastAsia="Times New Roman" w:hAnsi="Times New Roman"/>
          <w:sz w:val="22"/>
          <w:szCs w:val="22"/>
          <w:u w:val="single" w:color="auto"/>
          <w:color w:val="auto"/>
        </w:rPr>
        <w:t>EXCULPATION PROVISIONS</w:t>
      </w:r>
      <w:r>
        <w:rPr>
          <w:rFonts w:ascii="Times New Roman" w:cs="Times New Roman" w:eastAsia="Times New Roman" w:hAnsi="Times New Roman"/>
          <w:sz w:val="22"/>
          <w:szCs w:val="22"/>
          <w:color w:val="auto"/>
        </w:rPr>
        <w:t>. EACH OF THE PARTIES HERETO SPECIFICALLY AGREES THAT IT HAS A DUTY TO READ THIS AGREEMENT AND THE 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 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 PROVISION OF THIS AGREEMENT AND THE OTHER LOAN DOCUMENTS ON THE BASIS THAT THE PARTY HAD NO NOTICE OR KNOWLEDGE OF SUCH PROVISION OR THAT THE PROVISION IS NOT “CONSPICUOUS.”</w:t>
      </w:r>
    </w:p>
    <w:p>
      <w:pPr>
        <w:spacing w:after="0" w:line="188" w:lineRule="exact"/>
        <w:rPr>
          <w:sz w:val="20"/>
          <w:szCs w:val="20"/>
          <w:color w:val="auto"/>
        </w:rPr>
      </w:pPr>
    </w:p>
    <w:p>
      <w:pPr>
        <w:jc w:val="both"/>
        <w:ind w:right="399" w:firstLine="747"/>
        <w:spacing w:after="0" w:line="233" w:lineRule="auto"/>
        <w:rPr>
          <w:sz w:val="20"/>
          <w:szCs w:val="20"/>
          <w:color w:val="auto"/>
        </w:rPr>
      </w:pPr>
      <w:r>
        <w:rPr>
          <w:rFonts w:ascii="Times New Roman" w:cs="Times New Roman" w:eastAsia="Times New Roman" w:hAnsi="Times New Roman"/>
          <w:sz w:val="22"/>
          <w:szCs w:val="22"/>
          <w:color w:val="auto"/>
        </w:rPr>
        <w:t xml:space="preserve">Section 12.15 </w:t>
      </w:r>
      <w:r>
        <w:rPr>
          <w:rFonts w:ascii="Times New Roman" w:cs="Times New Roman" w:eastAsia="Times New Roman" w:hAnsi="Times New Roman"/>
          <w:sz w:val="22"/>
          <w:szCs w:val="22"/>
          <w:u w:val="single" w:color="auto"/>
          <w:color w:val="auto"/>
        </w:rPr>
        <w:t>Collateral Matters; Hedging Agreements; Treasury Management Agreements</w:t>
      </w:r>
      <w:r>
        <w:rPr>
          <w:rFonts w:ascii="Times New Roman" w:cs="Times New Roman" w:eastAsia="Times New Roman" w:hAnsi="Times New Roman"/>
          <w:sz w:val="22"/>
          <w:szCs w:val="22"/>
          <w:color w:val="auto"/>
        </w:rPr>
        <w:t xml:space="preserve">. As and to the extent provided herein and in the other Loan Documents, the benefit of the Security Instruments and of the provisions of this Agreement relating to any Collateral securing the Secured Obligations shall also extend to and be available to Secured Hedging Agreement Counterparties and Treasury Management Counterparties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as between themselves) in respect of any obligations of any Loan Party that arise under any such Secured Hedging Agreements or Treasury Management Agreements. No Lender or Affiliate of a Lender shall have any voting rights, notice rights or consent rights under any Loan Document as a result of the existence of obligations owed to it under any such Secured Hedging Agreements or Treasury Management Agreements. By accepting the benefit of the Liens granted pursuant to the Security Instruments, each Person secured by such Liens agrees to the terms of this Agreement and the Security Instruments that apply to such Liens and to the application of proceeds of enforcement thereof and (notwithstanding any anti-assignment clause or other restriction that may otherwise exist) consents to each grant by any Loan Party pursuant to the Security Instruments of a security interest in such Loan Party’s agreements and transactions with such Person.</w:t>
      </w:r>
    </w:p>
    <w:p>
      <w:pPr>
        <w:spacing w:after="0" w:line="180" w:lineRule="exact"/>
        <w:rPr>
          <w:sz w:val="20"/>
          <w:szCs w:val="20"/>
          <w:color w:val="auto"/>
        </w:rPr>
      </w:pPr>
    </w:p>
    <w:p>
      <w:pPr>
        <w:jc w:val="both"/>
        <w:ind w:right="399" w:firstLine="747"/>
        <w:spacing w:after="0" w:line="238" w:lineRule="auto"/>
        <w:rPr>
          <w:sz w:val="20"/>
          <w:szCs w:val="20"/>
          <w:color w:val="auto"/>
        </w:rPr>
      </w:pPr>
      <w:r>
        <w:rPr>
          <w:rFonts w:ascii="Times New Roman" w:cs="Times New Roman" w:eastAsia="Times New Roman" w:hAnsi="Times New Roman"/>
          <w:sz w:val="22"/>
          <w:szCs w:val="22"/>
          <w:color w:val="auto"/>
        </w:rPr>
        <w:t xml:space="preserve">Section 12.16 </w:t>
      </w: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This Agreement, the other Loan Documents, and the agreement of the Lenders to make Loans and the Issuing Bank to issue, amend, renew or extend Letters of Credit hereunder are solely for the benefit of the Borrower, and no other Person</w:t>
      </w:r>
    </w:p>
    <w:p>
      <w:pPr>
        <w:spacing w:after="0" w:line="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87" w:name="page188"/>
    <w:bookmarkEnd w:id="187"/>
    <w:p>
      <w:pPr>
        <w:jc w:val="both"/>
        <w:ind w:right="399"/>
        <w:spacing w:after="0" w:line="238" w:lineRule="auto"/>
        <w:rPr>
          <w:sz w:val="20"/>
          <w:szCs w:val="20"/>
          <w:color w:val="auto"/>
        </w:rPr>
      </w:pPr>
      <w:r>
        <w:rPr>
          <w:rFonts w:ascii="Times New Roman" w:cs="Times New Roman" w:eastAsia="Times New Roman" w:hAnsi="Times New Roman"/>
          <w:sz w:val="22"/>
          <w:szCs w:val="22"/>
          <w:color w:val="auto"/>
        </w:rPr>
        <w:t>(including, without limitation, any other Loan Party or any other Subsidiary of the Borrower, any obligor, contractor, subcontractor, supplier or materialman) shall have any rights, claims, remedies or privileges hereunder or under any other Loan Document against the Administrative Agent, any other Agent, the Issuing Bank or any Lender for any reason whatsoever. There are no third party beneficiaries other than the Indemnitees.</w:t>
      </w:r>
    </w:p>
    <w:p>
      <w:pPr>
        <w:spacing w:after="0" w:line="177"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 xml:space="preserve">Section 12.17 </w:t>
      </w:r>
      <w:r>
        <w:rPr>
          <w:rFonts w:ascii="Times New Roman" w:cs="Times New Roman" w:eastAsia="Times New Roman" w:hAnsi="Times New Roman"/>
          <w:sz w:val="22"/>
          <w:szCs w:val="22"/>
          <w:u w:val="single" w:color="auto"/>
          <w:color w:val="auto"/>
        </w:rPr>
        <w:t>USA Patriot Act Notice</w:t>
      </w:r>
      <w:r>
        <w:rPr>
          <w:rFonts w:ascii="Times New Roman" w:cs="Times New Roman" w:eastAsia="Times New Roman" w:hAnsi="Times New Roman"/>
          <w:sz w:val="22"/>
          <w:szCs w:val="22"/>
          <w:color w:val="auto"/>
        </w:rPr>
        <w:t>. The Administrative Agent and each Lender hereby notifies the Borrower that pursuant to the requirements of the PATRIOT Act or any other Anti-Money Laundering Laws, each of them is required to obtain, verify and record information that identifies each Loan Party, which information includes the name and address of each Loan Party and other information that will allow such Lender to identify each Loan Party in accordance with the PATRIOT Act, such Anti-Money Laundering Laws or the Beneficial Ownership Regulation.</w:t>
      </w:r>
    </w:p>
    <w:p>
      <w:pPr>
        <w:spacing w:after="0" w:line="181" w:lineRule="exact"/>
        <w:rPr>
          <w:sz w:val="20"/>
          <w:szCs w:val="20"/>
          <w:color w:val="auto"/>
        </w:rPr>
      </w:pPr>
    </w:p>
    <w:p>
      <w:pPr>
        <w:jc w:val="both"/>
        <w:ind w:right="399" w:firstLine="747"/>
        <w:spacing w:after="0" w:line="236" w:lineRule="auto"/>
        <w:rPr>
          <w:sz w:val="20"/>
          <w:szCs w:val="20"/>
          <w:color w:val="auto"/>
        </w:rPr>
      </w:pPr>
      <w:r>
        <w:rPr>
          <w:rFonts w:ascii="Times New Roman" w:cs="Times New Roman" w:eastAsia="Times New Roman" w:hAnsi="Times New Roman"/>
          <w:sz w:val="22"/>
          <w:szCs w:val="22"/>
          <w:color w:val="auto"/>
        </w:rPr>
        <w:t xml:space="preserve">Section 12.18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1" w:lineRule="exact"/>
        <w:rPr>
          <w:sz w:val="20"/>
          <w:szCs w:val="20"/>
          <w:color w:val="auto"/>
        </w:rPr>
      </w:pPr>
    </w:p>
    <w:p>
      <w:pPr>
        <w:jc w:val="both"/>
        <w:ind w:right="399" w:firstLine="1498"/>
        <w:spacing w:after="0" w:line="244" w:lineRule="auto"/>
        <w:rPr>
          <w:sz w:val="20"/>
          <w:szCs w:val="20"/>
          <w:color w:val="auto"/>
        </w:rPr>
      </w:pPr>
      <w:r>
        <w:rPr>
          <w:rFonts w:ascii="Times New Roman" w:cs="Times New Roman" w:eastAsia="Times New Roman" w:hAnsi="Times New Roman"/>
          <w:sz w:val="22"/>
          <w:szCs w:val="22"/>
          <w:color w:val="auto"/>
        </w:rPr>
        <w:t>(a)the application of any Write-Down and Conversion Powers by the applicable Resolution Authority to any such liabilities arising hereunder which may be payable to it by any party hereto that is an Affected Financial Institution; and</w:t>
      </w:r>
    </w:p>
    <w:p>
      <w:pPr>
        <w:spacing w:after="0" w:line="173" w:lineRule="exact"/>
        <w:rPr>
          <w:sz w:val="20"/>
          <w:szCs w:val="20"/>
          <w:color w:val="auto"/>
        </w:rPr>
      </w:pPr>
    </w:p>
    <w:p>
      <w:pPr>
        <w:ind w:left="2240" w:hanging="740"/>
        <w:spacing w:after="0"/>
        <w:tabs>
          <w:tab w:leader="none" w:pos="22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applicable:</w:t>
      </w:r>
    </w:p>
    <w:p>
      <w:pPr>
        <w:ind w:left="2620" w:hanging="371"/>
        <w:spacing w:after="0"/>
        <w:tabs>
          <w:tab w:leader="none" w:pos="262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182" w:lineRule="exact"/>
        <w:rPr>
          <w:rFonts w:ascii="Times New Roman" w:cs="Times New Roman" w:eastAsia="Times New Roman" w:hAnsi="Times New Roman"/>
          <w:sz w:val="22"/>
          <w:szCs w:val="22"/>
          <w:color w:val="auto"/>
        </w:rPr>
      </w:pPr>
    </w:p>
    <w:p>
      <w:pPr>
        <w:ind w:right="419" w:firstLine="2249"/>
        <w:spacing w:after="0" w:line="238" w:lineRule="auto"/>
        <w:tabs>
          <w:tab w:leader="none" w:pos="262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entity,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22"/>
          <w:szCs w:val="22"/>
          <w:color w:val="auto"/>
        </w:rPr>
      </w:pPr>
    </w:p>
    <w:p>
      <w:pPr>
        <w:ind w:left="2620" w:hanging="371"/>
        <w:spacing w:after="0"/>
        <w:tabs>
          <w:tab w:leader="none" w:pos="262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Write-Down and Conversion Powers of the applicable Resolution Authority.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12.19 </w:t>
      </w:r>
      <w:r>
        <w:rPr>
          <w:rFonts w:ascii="Times New Roman" w:cs="Times New Roman" w:eastAsia="Times New Roman" w:hAnsi="Times New Roman"/>
          <w:sz w:val="22"/>
          <w:szCs w:val="22"/>
          <w:u w:val="single" w:color="auto"/>
          <w:color w:val="auto"/>
        </w:rPr>
        <w:t>Certain ERISA Matters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1498"/>
        <w:spacing w:after="0" w:line="235" w:lineRule="auto"/>
        <w:rPr>
          <w:sz w:val="20"/>
          <w:szCs w:val="20"/>
          <w:color w:val="auto"/>
        </w:rPr>
      </w:pPr>
      <w:r>
        <w:rPr>
          <w:rFonts w:ascii="Times New Roman" w:cs="Times New Roman" w:eastAsia="Times New Roman" w:hAnsi="Times New Roman"/>
          <w:sz w:val="22"/>
          <w:szCs w:val="22"/>
          <w:color w:val="auto"/>
        </w:rPr>
        <w:t>(a)Each Lender (x) represents and warrants, as of the date such Person became a Lender party hereto, and (y) covenants, from the date such Person became a Lender party hereto to the date such Person ceases being a Lender party hereto, to and for the benefit of, the Administrative Agent and not, for the avoidance of doubt, to or for the benefit of the Borrower or any other Loan Party, that at least one of the following is and will be true:</w:t>
      </w:r>
    </w:p>
    <w:p>
      <w:pPr>
        <w:spacing w:after="0" w:line="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88" w:name="page189"/>
    <w:bookmarkEnd w:id="188"/>
    <w:p>
      <w:pPr>
        <w:jc w:val="both"/>
        <w:ind w:right="399" w:firstLine="2249"/>
        <w:spacing w:after="0" w:line="239" w:lineRule="auto"/>
        <w:tabs>
          <w:tab w:leader="none" w:pos="262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0" w:lineRule="exact"/>
        <w:rPr>
          <w:rFonts w:ascii="Times New Roman" w:cs="Times New Roman" w:eastAsia="Times New Roman" w:hAnsi="Times New Roman"/>
          <w:sz w:val="22"/>
          <w:szCs w:val="22"/>
          <w:color w:val="auto"/>
        </w:rPr>
      </w:pPr>
    </w:p>
    <w:p>
      <w:pPr>
        <w:jc w:val="both"/>
        <w:ind w:right="399" w:firstLine="2249"/>
        <w:spacing w:after="0" w:line="234" w:lineRule="auto"/>
        <w:tabs>
          <w:tab w:leader="none" w:pos="262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of such exemption have been satisfied, with respect to such Lender’s entrance into, participation in, administration of and performance of the Loans, the Letters of Credit, the Commitments and this Agreement;</w:t>
      </w:r>
    </w:p>
    <w:p>
      <w:pPr>
        <w:spacing w:after="0" w:line="183" w:lineRule="exact"/>
        <w:rPr>
          <w:rFonts w:ascii="Times New Roman" w:cs="Times New Roman" w:eastAsia="Times New Roman" w:hAnsi="Times New Roman"/>
          <w:sz w:val="22"/>
          <w:szCs w:val="22"/>
          <w:color w:val="auto"/>
        </w:rPr>
      </w:pPr>
    </w:p>
    <w:p>
      <w:pPr>
        <w:jc w:val="both"/>
        <w:ind w:right="399" w:firstLine="2249"/>
        <w:spacing w:after="0" w:line="234" w:lineRule="auto"/>
        <w:tabs>
          <w:tab w:leader="none" w:pos="262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9" w:lineRule="exact"/>
        <w:rPr>
          <w:rFonts w:ascii="Times New Roman" w:cs="Times New Roman" w:eastAsia="Times New Roman" w:hAnsi="Times New Roman"/>
          <w:sz w:val="22"/>
          <w:szCs w:val="22"/>
          <w:color w:val="auto"/>
        </w:rPr>
      </w:pPr>
    </w:p>
    <w:p>
      <w:pPr>
        <w:ind w:right="399" w:firstLine="2249"/>
        <w:spacing w:after="0" w:line="258" w:lineRule="auto"/>
        <w:tabs>
          <w:tab w:leader="none" w:pos="262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58" w:lineRule="exact"/>
        <w:rPr>
          <w:sz w:val="20"/>
          <w:szCs w:val="20"/>
          <w:color w:val="auto"/>
        </w:rPr>
      </w:pPr>
    </w:p>
    <w:p>
      <w:pPr>
        <w:jc w:val="both"/>
        <w:ind w:right="399" w:firstLine="1498"/>
        <w:spacing w:after="0" w:line="233" w:lineRule="auto"/>
        <w:rPr>
          <w:sz w:val="20"/>
          <w:szCs w:val="20"/>
          <w:color w:val="auto"/>
        </w:rPr>
      </w:pPr>
      <w:r>
        <w:rPr>
          <w:rFonts w:ascii="Times New Roman" w:cs="Times New Roman" w:eastAsia="Times New Roman" w:hAnsi="Times New Roman"/>
          <w:sz w:val="22"/>
          <w:szCs w:val="22"/>
          <w:color w:val="auto"/>
        </w:rPr>
        <w:t>(b)In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to and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12.20 </w:t>
      </w: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99" w:firstLine="1498"/>
        <w:spacing w:after="0" w:line="243" w:lineRule="auto"/>
        <w:rPr>
          <w:sz w:val="20"/>
          <w:szCs w:val="20"/>
          <w:color w:val="auto"/>
        </w:rPr>
      </w:pPr>
      <w:r>
        <w:rPr>
          <w:rFonts w:ascii="Times New Roman" w:cs="Times New Roman" w:eastAsia="Times New Roman" w:hAnsi="Times New Roman"/>
          <w:sz w:val="22"/>
          <w:szCs w:val="22"/>
          <w:color w:val="auto"/>
        </w:rPr>
        <w:t>(a)To the extent that the Loan Documents provide support, through a guarantee or otherwise, for Hedging Agreements or any other agreement or instrument that is a QFC (such</w:t>
      </w:r>
    </w:p>
    <w:p>
      <w:pPr>
        <w:ind w:left="5100"/>
        <w:spacing w:after="0"/>
        <w:rPr>
          <w:sz w:val="20"/>
          <w:szCs w:val="20"/>
          <w:color w:val="auto"/>
        </w:rPr>
      </w:pPr>
      <w:r>
        <w:rPr>
          <w:rFonts w:ascii="Times New Roman" w:cs="Times New Roman" w:eastAsia="Times New Roman" w:hAnsi="Times New Roman"/>
          <w:sz w:val="20"/>
          <w:szCs w:val="2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89" w:name="page190"/>
    <w:bookmarkEnd w:id="189"/>
    <w:p>
      <w:pPr>
        <w:jc w:val="both"/>
        <w:ind w:right="399"/>
        <w:spacing w:after="0" w:line="243" w:lineRule="auto"/>
        <w:rPr>
          <w:sz w:val="20"/>
          <w:szCs w:val="20"/>
          <w:color w:val="auto"/>
        </w:rPr>
      </w:pPr>
      <w:r>
        <w:rPr>
          <w:rFonts w:ascii="Times New Roman" w:cs="Times New Roman" w:eastAsia="Times New Roman" w:hAnsi="Times New Roman"/>
          <w:sz w:val="21"/>
          <w:szCs w:val="21"/>
          <w:color w:val="auto"/>
        </w:rPr>
        <w:t>support, “</w:t>
      </w:r>
      <w:r>
        <w:rPr>
          <w:rFonts w:ascii="Times New Roman" w:cs="Times New Roman" w:eastAsia="Times New Roman" w:hAnsi="Times New Roman"/>
          <w:sz w:val="21"/>
          <w:szCs w:val="21"/>
          <w:u w:val="single" w:color="auto"/>
          <w:color w:val="auto"/>
        </w:rPr>
        <w:t>QFC Credit Support</w:t>
      </w:r>
      <w:r>
        <w:rPr>
          <w:rFonts w:ascii="Times New Roman" w:cs="Times New Roman" w:eastAsia="Times New Roman" w:hAnsi="Times New Roman"/>
          <w:sz w:val="21"/>
          <w:szCs w:val="21"/>
          <w:color w:val="auto"/>
        </w:rPr>
        <w:t>” and, each such QFC, a “</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1"/>
          <w:szCs w:val="21"/>
          <w:u w:val="single" w:color="auto"/>
          <w:color w:val="auto"/>
        </w:rPr>
        <w:t>U.S. Special Resolution Regimes</w:t>
      </w:r>
      <w:r>
        <w:rPr>
          <w:rFonts w:ascii="Times New Roman" w:cs="Times New Roman" w:eastAsia="Times New Roman" w:hAnsi="Times New Roman"/>
          <w:sz w:val="21"/>
          <w:szCs w:val="21"/>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(b)As used in this Section 12.20, the following terms have the following meanings:</w:t>
      </w:r>
    </w:p>
    <w:p>
      <w:pPr>
        <w:spacing w:after="0" w:line="206" w:lineRule="exact"/>
        <w:rPr>
          <w:sz w:val="20"/>
          <w:szCs w:val="20"/>
          <w:color w:val="auto"/>
        </w:rPr>
      </w:pPr>
    </w:p>
    <w:p>
      <w:pPr>
        <w:ind w:right="839" w:firstLine="1498"/>
        <w:spacing w:after="0" w:line="258" w:lineRule="auto"/>
        <w:rPr>
          <w:sz w:val="20"/>
          <w:szCs w:val="20"/>
          <w:color w:val="auto"/>
        </w:rPr>
      </w:pP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06" w:lineRule="exact"/>
        <w:rPr>
          <w:sz w:val="20"/>
          <w:szCs w:val="20"/>
          <w:color w:val="auto"/>
        </w:rPr>
      </w:pPr>
    </w:p>
    <w:p>
      <w:pPr>
        <w:ind w:left="2620" w:hanging="371"/>
        <w:spacing w:after="0"/>
        <w:tabs>
          <w:tab w:leader="none" w:pos="26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12 C.F.R. § 252.82(b);</w:t>
      </w:r>
    </w:p>
    <w:p>
      <w:pPr>
        <w:spacing w:after="0" w:line="182" w:lineRule="exact"/>
        <w:rPr>
          <w:rFonts w:ascii="Times New Roman" w:cs="Times New Roman" w:eastAsia="Times New Roman" w:hAnsi="Times New Roman"/>
          <w:sz w:val="22"/>
          <w:szCs w:val="22"/>
          <w:color w:val="auto"/>
        </w:rPr>
      </w:pPr>
    </w:p>
    <w:p>
      <w:pPr>
        <w:ind w:left="2620" w:hanging="371"/>
        <w:spacing w:after="0"/>
        <w:tabs>
          <w:tab w:leader="none" w:pos="26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12 C.F.R. § 47.3(b); or</w:t>
      </w:r>
    </w:p>
    <w:p>
      <w:pPr>
        <w:spacing w:after="0" w:line="182" w:lineRule="exact"/>
        <w:rPr>
          <w:rFonts w:ascii="Times New Roman" w:cs="Times New Roman" w:eastAsia="Times New Roman" w:hAnsi="Times New Roman"/>
          <w:sz w:val="22"/>
          <w:szCs w:val="22"/>
          <w:color w:val="auto"/>
        </w:rPr>
      </w:pPr>
    </w:p>
    <w:p>
      <w:pPr>
        <w:ind w:left="2620" w:hanging="371"/>
        <w:spacing w:after="0"/>
        <w:tabs>
          <w:tab w:leader="none" w:pos="262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FSI” as that term is defined in, and interpreted in accordance with,</w:t>
      </w:r>
    </w:p>
    <w:p>
      <w:pPr>
        <w:spacing w:after="0" w:line="25" w:lineRule="exact"/>
        <w:rPr>
          <w:rFonts w:ascii="Times New Roman" w:cs="Times New Roman" w:eastAsia="Times New Roman" w:hAnsi="Times New Roman"/>
          <w:sz w:val="21"/>
          <w:szCs w:val="21"/>
          <w:color w:val="auto"/>
        </w:rPr>
      </w:pPr>
    </w:p>
    <w:p>
      <w:pPr>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12 C.F.R. § 382.2(b).</w:t>
      </w:r>
    </w:p>
    <w:p>
      <w:pPr>
        <w:ind w:left="5100"/>
        <w:spacing w:after="0"/>
        <w:rPr>
          <w:sz w:val="20"/>
          <w:szCs w:val="20"/>
          <w:color w:val="auto"/>
        </w:rPr>
      </w:pPr>
      <w:r>
        <w:rPr>
          <w:rFonts w:ascii="Times New Roman" w:cs="Times New Roman" w:eastAsia="Times New Roman" w:hAnsi="Times New Roman"/>
          <w:sz w:val="20"/>
          <w:szCs w:val="2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90" w:name="page191"/>
    <w:bookmarkEnd w:id="190"/>
    <w:p>
      <w:pPr>
        <w:ind w:right="999" w:firstLine="14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58" w:lineRule="exact"/>
        <w:rPr>
          <w:sz w:val="20"/>
          <w:szCs w:val="20"/>
          <w:color w:val="auto"/>
        </w:rPr>
      </w:pPr>
    </w:p>
    <w:p>
      <w:pPr>
        <w:ind w:right="459" w:firstLine="14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[SIGNATURES BEGIN NEXT PAGE]</w:t>
      </w:r>
    </w:p>
    <w:p>
      <w:pPr>
        <w:spacing w:after="0" w:line="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655955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152" w:right="1440" w:bottom="1440" w:gutter="0" w:footer="0" w:header="0"/>
        </w:sectPr>
      </w:pPr>
    </w:p>
    <w:bookmarkStart w:id="191" w:name="page192"/>
    <w:bookmarkEnd w:id="191"/>
    <w:p>
      <w:pPr>
        <w:ind w:right="799" w:firstLine="726"/>
        <w:spacing w:after="0" w:line="258" w:lineRule="auto"/>
        <w:rPr>
          <w:sz w:val="20"/>
          <w:szCs w:val="20"/>
          <w:color w:val="auto"/>
        </w:rPr>
      </w:pPr>
      <w:r>
        <w:rPr>
          <w:rFonts w:ascii="Times New Roman" w:cs="Times New Roman" w:eastAsia="Times New Roman" w:hAnsi="Times New Roman"/>
          <w:sz w:val="22"/>
          <w:szCs w:val="22"/>
          <w:color w:val="181818"/>
        </w:rPr>
        <w:t>The parties hereto have caused this Agreement to be duly executed as of the day and year frrst above written.</w:t>
      </w:r>
    </w:p>
    <w:p>
      <w:pPr>
        <w:spacing w:after="0" w:line="1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181818"/>
        </w:rPr>
        <w:t>BORROWER:</w:t>
      </w:r>
    </w:p>
    <w:p>
      <w:pPr>
        <w:spacing w:after="0" w:line="23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181818"/>
        </w:rPr>
        <w:t>PINNACLE GAS SERVICES LLC</w:t>
      </w:r>
    </w:p>
    <w:p>
      <w:pPr>
        <w:spacing w:after="0" w:line="200" w:lineRule="exact"/>
        <w:rPr>
          <w:sz w:val="20"/>
          <w:szCs w:val="20"/>
          <w:color w:val="auto"/>
        </w:rPr>
      </w:pPr>
    </w:p>
    <w:p>
      <w:pPr>
        <w:spacing w:after="0" w:line="28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181818"/>
        </w:rPr>
        <w:t xml:space="preserve">By: </w:t>
      </w:r>
      <w:r>
        <w:rPr>
          <w:rFonts w:ascii="Times New Roman" w:cs="Times New Roman" w:eastAsia="Times New Roman" w:hAnsi="Times New Roman"/>
          <w:sz w:val="22"/>
          <w:szCs w:val="22"/>
          <w:u w:val="single" w:color="auto"/>
          <w:color w:val="181818"/>
        </w:rPr>
        <w:t>/s/ Roland O. Burns</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181818"/>
        </w:rPr>
        <w:t>Name: Roland O. Burns</w:t>
      </w:r>
    </w:p>
    <w:p>
      <w:pPr>
        <w:ind w:left="4380"/>
        <w:spacing w:after="0"/>
        <w:rPr>
          <w:sz w:val="20"/>
          <w:szCs w:val="20"/>
          <w:color w:val="auto"/>
        </w:rPr>
      </w:pPr>
      <w:r>
        <w:rPr>
          <w:rFonts w:ascii="Times New Roman" w:cs="Times New Roman" w:eastAsia="Times New Roman" w:hAnsi="Times New Roman"/>
          <w:sz w:val="22"/>
          <w:szCs w:val="22"/>
          <w:color w:val="181818"/>
        </w:rPr>
        <w:t>Title: President and Secretary</w:t>
      </w:r>
    </w:p>
    <w:p>
      <w:pPr>
        <w:spacing w:after="0" w:line="200" w:lineRule="exact"/>
        <w:rPr>
          <w:sz w:val="20"/>
          <w:szCs w:val="20"/>
          <w:color w:val="auto"/>
        </w:rPr>
      </w:pPr>
    </w:p>
    <w:p>
      <w:pPr>
        <w:spacing w:after="0" w:line="37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1A1C1F"/>
        </w:rPr>
        <w:t xml:space="preserve">ADMINISTRATIVE </w:t>
      </w:r>
      <w:r>
        <w:rPr>
          <w:rFonts w:ascii="Times New Roman" w:cs="Times New Roman" w:eastAsia="Times New Roman" w:hAnsi="Times New Roman"/>
          <w:sz w:val="22"/>
          <w:szCs w:val="22"/>
          <w:b w:val="1"/>
          <w:bCs w:val="1"/>
          <w:color w:val="2F3134"/>
        </w:rPr>
        <w:t>AGENT,</w:t>
      </w:r>
      <w:r>
        <w:rPr>
          <w:rFonts w:ascii="Times New Roman" w:cs="Times New Roman" w:eastAsia="Times New Roman" w:hAnsi="Times New Roman"/>
          <w:sz w:val="22"/>
          <w:szCs w:val="22"/>
          <w:b w:val="1"/>
          <w:bCs w:val="1"/>
          <w:color w:val="1A1C1F"/>
        </w:rPr>
        <w:t xml:space="preserve"> ISSUING BANK</w:t>
      </w:r>
    </w:p>
    <w:p>
      <w:pPr>
        <w:spacing w:after="0" w:line="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1A1C1F"/>
        </w:rPr>
        <w:t>AND LENDER:</w:t>
      </w:r>
    </w:p>
    <w:p>
      <w:pPr>
        <w:spacing w:after="0" w:line="1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1A1C1F"/>
        </w:rPr>
        <w:t>WELLS FARGO BANK, N.A.</w:t>
      </w:r>
    </w:p>
    <w:p>
      <w:pPr>
        <w:spacing w:after="0" w:line="19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181818"/>
        </w:rPr>
        <w:t xml:space="preserve">By: </w:t>
      </w:r>
      <w:r>
        <w:rPr>
          <w:rFonts w:ascii="Times New Roman" w:cs="Times New Roman" w:eastAsia="Times New Roman" w:hAnsi="Times New Roman"/>
          <w:sz w:val="22"/>
          <w:szCs w:val="22"/>
          <w:u w:val="single" w:color="auto"/>
          <w:color w:val="181818"/>
        </w:rPr>
        <w:t>/s/ Brandon Kast</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181818"/>
        </w:rPr>
        <w:t>Name: Brandon Kast</w:t>
      </w:r>
    </w:p>
    <w:p>
      <w:pPr>
        <w:ind w:left="4380"/>
        <w:spacing w:after="0"/>
        <w:rPr>
          <w:sz w:val="20"/>
          <w:szCs w:val="20"/>
          <w:color w:val="auto"/>
        </w:rPr>
      </w:pPr>
      <w:r>
        <w:rPr>
          <w:rFonts w:ascii="Times New Roman" w:cs="Times New Roman" w:eastAsia="Times New Roman" w:hAnsi="Times New Roman"/>
          <w:sz w:val="22"/>
          <w:szCs w:val="22"/>
          <w:color w:val="181818"/>
        </w:rPr>
        <w:t>Title: Managing Director</w:t>
      </w:r>
    </w:p>
    <w:p>
      <w:pPr>
        <w:spacing w:after="0" w:line="2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LENDER:</w:t>
      </w:r>
    </w:p>
    <w:p>
      <w:pPr>
        <w:spacing w:after="0" w:line="2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BANK OF AMERICA, N.A.</w:t>
      </w:r>
    </w:p>
    <w:p>
      <w:pPr>
        <w:spacing w:after="0" w:line="200" w:lineRule="exact"/>
        <w:rPr>
          <w:sz w:val="20"/>
          <w:szCs w:val="20"/>
          <w:color w:val="auto"/>
        </w:rPr>
      </w:pPr>
    </w:p>
    <w:p>
      <w:pPr>
        <w:spacing w:after="0" w:line="2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Christopher Baethge</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 Christopher Baethge</w:t>
      </w:r>
    </w:p>
    <w:p>
      <w:pPr>
        <w:ind w:left="4420"/>
        <w:spacing w:after="0"/>
        <w:rPr>
          <w:sz w:val="20"/>
          <w:szCs w:val="20"/>
          <w:color w:val="auto"/>
        </w:rPr>
      </w:pPr>
      <w:r>
        <w:rPr>
          <w:rFonts w:ascii="Times New Roman" w:cs="Times New Roman" w:eastAsia="Times New Roman" w:hAnsi="Times New Roman"/>
          <w:sz w:val="22"/>
          <w:szCs w:val="22"/>
          <w:color w:val="auto"/>
        </w:rPr>
        <w:t>Title: Director</w:t>
      </w:r>
    </w:p>
    <w:p>
      <w:pPr>
        <w:spacing w:after="0" w:line="3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LENDER:</w:t>
      </w:r>
    </w:p>
    <w:p>
      <w:pPr>
        <w:spacing w:after="0" w:line="2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CAPITAL ONE, NATIONAL ASSOCIATION</w:t>
      </w:r>
    </w:p>
    <w:p>
      <w:pPr>
        <w:spacing w:after="0" w:line="34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181818"/>
        </w:rPr>
        <w:t xml:space="preserve">By: </w:t>
      </w:r>
      <w:r>
        <w:rPr>
          <w:rFonts w:ascii="Times New Roman" w:cs="Times New Roman" w:eastAsia="Times New Roman" w:hAnsi="Times New Roman"/>
          <w:sz w:val="22"/>
          <w:szCs w:val="22"/>
          <w:u w:val="single" w:color="auto"/>
          <w:color w:val="181818"/>
        </w:rPr>
        <w:t>/s/ David Lee Garza</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181818"/>
        </w:rPr>
        <w:t>Name: David Lee Garza</w:t>
      </w:r>
    </w:p>
    <w:p>
      <w:pPr>
        <w:ind w:left="4420"/>
        <w:spacing w:after="0"/>
        <w:rPr>
          <w:sz w:val="20"/>
          <w:szCs w:val="20"/>
          <w:color w:val="auto"/>
        </w:rPr>
      </w:pPr>
      <w:r>
        <w:rPr>
          <w:rFonts w:ascii="Times New Roman" w:cs="Times New Roman" w:eastAsia="Times New Roman" w:hAnsi="Times New Roman"/>
          <w:sz w:val="22"/>
          <w:szCs w:val="22"/>
          <w:color w:val="181818"/>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506095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1408" w:right="1440" w:bottom="1440" w:gutter="0" w:footer="0" w:header="0"/>
        </w:sectPr>
      </w:pPr>
    </w:p>
    <w:bookmarkStart w:id="192" w:name="page193"/>
    <w:bookmarkEnd w:id="192"/>
    <w:p>
      <w:pPr>
        <w:ind w:left="3760"/>
        <w:spacing w:after="0"/>
        <w:rPr>
          <w:sz w:val="20"/>
          <w:szCs w:val="20"/>
          <w:color w:val="auto"/>
        </w:rPr>
      </w:pPr>
      <w:r>
        <w:rPr>
          <w:rFonts w:ascii="Times New Roman" w:cs="Times New Roman" w:eastAsia="Times New Roman" w:hAnsi="Times New Roman"/>
          <w:sz w:val="22"/>
          <w:szCs w:val="22"/>
          <w:b w:val="1"/>
          <w:bCs w:val="1"/>
          <w:color w:val="auto"/>
        </w:rPr>
        <w:t>LENDER:</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FIFTH THIRD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Kleiderer</w:t>
      </w:r>
    </w:p>
    <w:p>
      <w:pPr>
        <w:spacing w:after="0" w:line="5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 Thomas Kleiderer</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9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LENDER:</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MIZUHO BANK, LTD.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Edward Sacks</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 Edward Sacks</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9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LENDER:</w:t>
      </w:r>
    </w:p>
    <w:p>
      <w:pPr>
        <w:spacing w:after="0" w:line="4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REGIONS BANK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Cody Chance</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 Cody Chance</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34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LENDER:</w:t>
      </w:r>
    </w:p>
    <w:p>
      <w:pPr>
        <w:spacing w:after="0" w:line="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TRUISTBANK</w:t>
      </w:r>
    </w:p>
    <w:p>
      <w:pPr>
        <w:spacing w:after="0" w:line="35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Farhan Iqbal</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 FARHAN IQBAL</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220980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Jay Allison, certify that:</w:t>
      </w:r>
    </w:p>
    <w:p>
      <w:pPr>
        <w:spacing w:after="0" w:line="185" w:lineRule="exact"/>
        <w:rPr>
          <w:sz w:val="20"/>
          <w:szCs w:val="20"/>
          <w:color w:val="auto"/>
        </w:rPr>
      </w:pPr>
    </w:p>
    <w:p>
      <w:pPr>
        <w:ind w:left="1500" w:hanging="743"/>
        <w:spacing w:after="0"/>
        <w:tabs>
          <w:tab w:leader="none" w:pos="15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March 31, 2026 Form 10-Q of Comstock Resources, Inc.;</w:t>
      </w:r>
    </w:p>
    <w:p>
      <w:pPr>
        <w:spacing w:after="0" w:line="184"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1500" w:right="20" w:hanging="743"/>
        <w:spacing w:after="0" w:line="312" w:lineRule="auto"/>
        <w:tabs>
          <w:tab w:leader="none" w:pos="150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jc w:val="both"/>
        <w:ind w:left="1500" w:hanging="743"/>
        <w:spacing w:after="0" w:line="266" w:lineRule="auto"/>
        <w:tabs>
          <w:tab w:leader="none" w:pos="15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2260" w:hanging="755"/>
        <w:spacing w:after="0" w:line="266" w:lineRule="auto"/>
        <w:tabs>
          <w:tab w:leader="none" w:pos="22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2260" w:hanging="755"/>
        <w:spacing w:after="0" w:line="266" w:lineRule="auto"/>
        <w:tabs>
          <w:tab w:leader="none" w:pos="22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2260" w:hanging="755"/>
        <w:spacing w:after="0" w:line="266" w:lineRule="auto"/>
        <w:tabs>
          <w:tab w:leader="none" w:pos="22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2260" w:hanging="755"/>
        <w:spacing w:after="0" w:line="266" w:lineRule="auto"/>
        <w:tabs>
          <w:tab w:leader="none" w:pos="22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2260" w:hanging="755"/>
        <w:spacing w:after="0" w:line="266" w:lineRule="auto"/>
        <w:tabs>
          <w:tab w:leader="none" w:pos="22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2260" w:right="20" w:hanging="755"/>
        <w:spacing w:after="0" w:line="282" w:lineRule="auto"/>
        <w:tabs>
          <w:tab w:leader="none" w:pos="22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M. JAY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M. Jay Allison</w:t>
      </w:r>
    </w:p>
    <w:p>
      <w:pPr>
        <w:spacing w:after="0" w:line="6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Roland O. Burns, certify that:</w:t>
      </w:r>
    </w:p>
    <w:p>
      <w:pPr>
        <w:spacing w:after="0" w:line="185" w:lineRule="exact"/>
        <w:rPr>
          <w:sz w:val="20"/>
          <w:szCs w:val="20"/>
          <w:color w:val="auto"/>
        </w:rPr>
      </w:pPr>
    </w:p>
    <w:p>
      <w:pPr>
        <w:ind w:left="1500" w:hanging="743"/>
        <w:spacing w:after="0"/>
        <w:tabs>
          <w:tab w:leader="none" w:pos="15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March 31, 2026 Form 10-Q of Comstock Resources, Inc.;</w:t>
      </w:r>
    </w:p>
    <w:p>
      <w:pPr>
        <w:spacing w:after="0" w:line="184"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1500" w:right="20" w:hanging="743"/>
        <w:spacing w:after="0" w:line="312" w:lineRule="auto"/>
        <w:tabs>
          <w:tab w:leader="none" w:pos="150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jc w:val="both"/>
        <w:ind w:left="1500" w:hanging="743"/>
        <w:spacing w:after="0" w:line="266" w:lineRule="auto"/>
        <w:tabs>
          <w:tab w:leader="none" w:pos="15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2260" w:hanging="755"/>
        <w:spacing w:after="0" w:line="266" w:lineRule="auto"/>
        <w:tabs>
          <w:tab w:leader="none" w:pos="22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2260" w:hanging="755"/>
        <w:spacing w:after="0" w:line="266" w:lineRule="auto"/>
        <w:tabs>
          <w:tab w:leader="none" w:pos="22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2260" w:hanging="755"/>
        <w:spacing w:after="0" w:line="266" w:lineRule="auto"/>
        <w:tabs>
          <w:tab w:leader="none" w:pos="22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2260" w:hanging="755"/>
        <w:spacing w:after="0" w:line="266" w:lineRule="auto"/>
        <w:tabs>
          <w:tab w:leader="none" w:pos="22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2260" w:hanging="755"/>
        <w:spacing w:after="0" w:line="266" w:lineRule="auto"/>
        <w:tabs>
          <w:tab w:leader="none" w:pos="22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2260" w:right="20" w:hanging="755"/>
        <w:spacing w:after="0" w:line="282" w:lineRule="auto"/>
        <w:tabs>
          <w:tab w:leader="none" w:pos="22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5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/s/ 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17145</wp:posOffset>
            </wp:positionV>
            <wp:extent cx="24599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Roland O. Burns</w:t>
      </w:r>
    </w:p>
    <w:p>
      <w:pPr>
        <w:spacing w:after="0" w:line="6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93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Comstock Resources, Inc. (the “Company”) on Form 10-Q for the three months ended March 31, 2026 as filed with the Securities and Exchange Commission on the date hereof (the “Report”), I, M. Jay Allison, Chief Executive Officer of the Company, certify, pursuant to 18 U.S.C. § 1350, as adopted pursuant to § 906 of the Sarbanes-Oxley Act of 2002, that:</w:t>
      </w:r>
    </w:p>
    <w:p>
      <w:pPr>
        <w:spacing w:after="0" w:line="135" w:lineRule="exact"/>
        <w:rPr>
          <w:sz w:val="20"/>
          <w:szCs w:val="20"/>
          <w:color w:val="auto"/>
        </w:rPr>
      </w:pPr>
    </w:p>
    <w:p>
      <w:pPr>
        <w:ind w:left="1700" w:hanging="749"/>
        <w:spacing w:after="0"/>
        <w:tabs>
          <w:tab w:leader="none" w:pos="17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700" w:hanging="749"/>
        <w:spacing w:after="0" w:line="282" w:lineRule="auto"/>
        <w:tabs>
          <w:tab w:leader="none" w:pos="17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 JAY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460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 Jay Allison</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93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Comstock Resources, Inc. (the “Company”) on Form 10-Q for the three months ended March 31, 2026 as filed with the Securities and Exchange Commission on the date hereof (the “Report”), I, Roland O. Burns, Chief Financial Officer of the Company, certify, pursuant to 18 U.S.C. § 1350, as adopted pursuant to § 906 of the Sarbanes-Oxley Act of 2002, that:</w:t>
      </w:r>
    </w:p>
    <w:p>
      <w:pPr>
        <w:spacing w:after="0" w:line="135" w:lineRule="exact"/>
        <w:rPr>
          <w:sz w:val="20"/>
          <w:szCs w:val="20"/>
          <w:color w:val="auto"/>
        </w:rPr>
      </w:pPr>
    </w:p>
    <w:p>
      <w:pPr>
        <w:ind w:left="1700" w:hanging="749"/>
        <w:spacing w:after="0"/>
        <w:tabs>
          <w:tab w:leader="none" w:pos="17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700" w:hanging="749"/>
        <w:spacing w:after="0" w:line="282" w:lineRule="auto"/>
        <w:tabs>
          <w:tab w:leader="none" w:pos="17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460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Roland O. Burns</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7" w:name="page198"/>
    <w:bookmarkEnd w:id="1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1)"/>
      <w:numFmt w:val="decimal"/>
      <w:start w:val="1"/>
    </w:lvl>
  </w:abstractNum>
  <w:abstractNum w:abstractNumId="3">
    <w:nsid w:val="7FB7E0AA"/>
    <w:multiLevelType w:val="hybridMultilevel"/>
    <w:lvl w:ilvl="0">
      <w:lvlJc w:val="left"/>
      <w:lvlText w:val="%1."/>
      <w:numFmt w:val="upperLetter"/>
      <w:start w:val="1"/>
    </w:lvl>
  </w:abstractNum>
  <w:abstractNum w:abstractNumId="4">
    <w:nsid w:val="6EB5BD4"/>
    <w:multiLevelType w:val="hybridMultilevel"/>
    <w:lvl w:ilvl="0">
      <w:lvlJc w:val="left"/>
      <w:lvlText w:val="(%1)"/>
      <w:numFmt w:val="lowerRoman"/>
      <w:start w:val="2"/>
    </w:lvl>
  </w:abstractNum>
  <w:abstractNum w:abstractNumId="5">
    <w:nsid w:val="6F6DD9AC"/>
    <w:multiLevelType w:val="hybridMultilevel"/>
    <w:lvl w:ilvl="0">
      <w:lvlJc w:val="left"/>
      <w:lvlText w:val="(%1)"/>
      <w:numFmt w:val="lowerLetter"/>
      <w:start w:val="1"/>
    </w:lvl>
  </w:abstractNum>
  <w:abstractNum w:abstractNumId="6">
    <w:nsid w:val="94211F2"/>
    <w:multiLevelType w:val="hybridMultilevel"/>
    <w:lvl w:ilvl="0">
      <w:lvlJc w:val="left"/>
      <w:lvlText w:val="(%1)"/>
      <w:numFmt w:val="lowerLetter"/>
      <w:start w:val="1"/>
    </w:lvl>
  </w:abstractNum>
  <w:abstractNum w:abstractNumId="7">
    <w:nsid w:val="885E1B"/>
    <w:multiLevelType w:val="hybridMultilevel"/>
    <w:lvl w:ilvl="0">
      <w:lvlJc w:val="left"/>
      <w:lvlText w:val="(%1)"/>
      <w:numFmt w:val="lowerLetter"/>
      <w:start w:val="1"/>
    </w:lvl>
  </w:abstractNum>
  <w:abstractNum w:abstractNumId="8">
    <w:nsid w:val="76272110"/>
    <w:multiLevelType w:val="hybridMultilevel"/>
    <w:lvl w:ilvl="0">
      <w:lvlJc w:val="left"/>
      <w:lvlText w:val="(%1)"/>
      <w:numFmt w:val="lowerLetter"/>
      <w:start w:val="1"/>
    </w:lvl>
  </w:abstractNum>
  <w:abstractNum w:abstractNumId="9">
    <w:nsid w:val="4C04A8AF"/>
    <w:multiLevelType w:val="hybridMultilevel"/>
    <w:lvl w:ilvl="0">
      <w:lvlJc w:val="left"/>
      <w:lvlText w:val="(%1)"/>
      <w:numFmt w:val="lowerLetter"/>
      <w:start w:val="4"/>
    </w:lvl>
  </w:abstractNum>
  <w:abstractNum w:abstractNumId="10">
    <w:nsid w:val="1716703B"/>
    <w:multiLevelType w:val="hybridMultilevel"/>
    <w:lvl w:ilvl="0">
      <w:lvlJc w:val="left"/>
      <w:lvlText w:val="(%1)"/>
      <w:numFmt w:val="lowerLetter"/>
      <w:start w:val="1"/>
    </w:lvl>
  </w:abstractNum>
  <w:abstractNum w:abstractNumId="11">
    <w:nsid w:val="14E17E33"/>
    <w:multiLevelType w:val="hybridMultilevel"/>
    <w:lvl w:ilvl="0">
      <w:lvlJc w:val="left"/>
      <w:lvlText w:val="(%1)"/>
      <w:numFmt w:val="lowerLetter"/>
      <w:start w:val="1"/>
    </w:lvl>
  </w:abstractNum>
  <w:abstractNum w:abstractNumId="12">
    <w:nsid w:val="3222E7CD"/>
    <w:multiLevelType w:val="hybridMultilevel"/>
    <w:lvl w:ilvl="0">
      <w:lvlJc w:val="left"/>
      <w:lvlText w:val="(%1)"/>
      <w:numFmt w:val="lowerLetter"/>
      <w:start w:val="1"/>
    </w:lvl>
    <w:lvl w:ilvl="1">
      <w:lvlJc w:val="left"/>
      <w:lvlText w:val="(%2)"/>
      <w:numFmt w:val="lowerLetter"/>
      <w:start w:val="9"/>
    </w:lvl>
  </w:abstractNum>
  <w:abstractNum w:abstractNumId="13">
    <w:nsid w:val="74DE0EE3"/>
    <w:multiLevelType w:val="hybridMultilevel"/>
    <w:lvl w:ilvl="0">
      <w:lvlJc w:val="left"/>
      <w:lvlText w:val="(%1)"/>
      <w:numFmt w:val="lowerRoman"/>
      <w:start w:val="2"/>
    </w:lvl>
  </w:abstractNum>
  <w:abstractNum w:abstractNumId="14">
    <w:nsid w:val="68EBC550"/>
    <w:multiLevelType w:val="hybridMultilevel"/>
    <w:lvl w:ilvl="0">
      <w:lvlJc w:val="left"/>
      <w:lvlText w:val="(%1)"/>
      <w:numFmt w:val="lowerLetter"/>
      <w:start w:val="1"/>
    </w:lvl>
  </w:abstractNum>
  <w:abstractNum w:abstractNumId="15">
    <w:nsid w:val="2DF6D648"/>
    <w:multiLevelType w:val="hybridMultilevel"/>
    <w:lvl w:ilvl="0">
      <w:lvlJc w:val="left"/>
      <w:lvlText w:val="(%1)"/>
      <w:numFmt w:val="lowerLetter"/>
      <w:start w:val="3"/>
    </w:lvl>
  </w:abstractNum>
  <w:abstractNum w:abstractNumId="16">
    <w:nsid w:val="46B7D447"/>
    <w:multiLevelType w:val="hybridMultilevel"/>
    <w:lvl w:ilvl="0">
      <w:lvlJc w:val="left"/>
      <w:lvlText w:val="(%1)"/>
      <w:numFmt w:val="lowerLetter"/>
      <w:start w:val="61"/>
    </w:lvl>
  </w:abstractNum>
  <w:abstractNum w:abstractNumId="17">
    <w:nsid w:val="4A2AC315"/>
    <w:multiLevelType w:val="hybridMultilevel"/>
    <w:lvl w:ilvl="0">
      <w:lvlJc w:val="left"/>
      <w:lvlText w:val="(%1)"/>
      <w:numFmt w:val="lowerLetter"/>
      <w:start w:val="1"/>
    </w:lvl>
  </w:abstractNum>
  <w:abstractNum w:abstractNumId="18">
    <w:nsid w:val="39EE015C"/>
    <w:multiLevelType w:val="hybridMultilevel"/>
    <w:lvl w:ilvl="0">
      <w:lvlJc w:val="left"/>
      <w:lvlText w:val="(%1)"/>
      <w:numFmt w:val="lowerLetter"/>
      <w:start w:val="1"/>
    </w:lvl>
  </w:abstractNum>
  <w:abstractNum w:abstractNumId="19">
    <w:nsid w:val="57FC4FBB"/>
    <w:multiLevelType w:val="hybridMultilevel"/>
    <w:lvl w:ilvl="0">
      <w:lvlJc w:val="left"/>
      <w:lvlText w:val="(%1)"/>
      <w:numFmt w:val="lowerRoman"/>
      <w:start w:val="1"/>
    </w:lvl>
  </w:abstractNum>
  <w:abstractNum w:abstractNumId="20">
    <w:nsid w:val="CC1016F"/>
    <w:multiLevelType w:val="hybridMultilevel"/>
    <w:lvl w:ilvl="0">
      <w:lvlJc w:val="left"/>
      <w:lvlText w:val="(%1)"/>
      <w:numFmt w:val="lowerLetter"/>
      <w:start w:val="1"/>
    </w:lvl>
  </w:abstractNum>
  <w:abstractNum w:abstractNumId="21">
    <w:nsid w:val="43F18422"/>
    <w:multiLevelType w:val="hybridMultilevel"/>
    <w:lvl w:ilvl="0">
      <w:lvlJc w:val="left"/>
      <w:lvlText w:val="(%1)"/>
      <w:numFmt w:val="lowerLetter"/>
      <w:start w:val="1"/>
    </w:lvl>
  </w:abstractNum>
  <w:abstractNum w:abstractNumId="22">
    <w:nsid w:val="60EF0119"/>
    <w:multiLevelType w:val="hybridMultilevel"/>
    <w:lvl w:ilvl="0">
      <w:lvlJc w:val="left"/>
      <w:lvlText w:val="(%1)"/>
      <w:numFmt w:val="lowerLetter"/>
      <w:start w:val="1"/>
    </w:lvl>
  </w:abstractNum>
  <w:abstractNum w:abstractNumId="23">
    <w:nsid w:val="26F324BA"/>
    <w:multiLevelType w:val="hybridMultilevel"/>
    <w:lvl w:ilvl="0">
      <w:lvlJc w:val="left"/>
      <w:lvlText w:val="(%1)"/>
      <w:numFmt w:val="lowerLetter"/>
      <w:start w:val="25"/>
    </w:lvl>
  </w:abstractNum>
  <w:abstractNum w:abstractNumId="24">
    <w:nsid w:val="7F01579B"/>
    <w:multiLevelType w:val="hybridMultilevel"/>
    <w:lvl w:ilvl="0">
      <w:lvlJc w:val="left"/>
      <w:lvlText w:val="%1"/>
      <w:numFmt w:val="lowerLetter"/>
      <w:start w:val="1"/>
    </w:lvl>
    <w:lvl w:ilvl="1">
      <w:lvlJc w:val="left"/>
      <w:lvlText w:val="(%2)"/>
      <w:numFmt w:val="lowerLetter"/>
      <w:start w:val="1"/>
    </w:lvl>
  </w:abstractNum>
  <w:abstractNum w:abstractNumId="25">
    <w:nsid w:val="49DA307D"/>
    <w:multiLevelType w:val="hybridMultilevel"/>
    <w:lvl w:ilvl="0">
      <w:lvlJc w:val="left"/>
      <w:lvlText w:val="(%1)"/>
      <w:numFmt w:val="lowerLetter"/>
      <w:start w:val="9"/>
    </w:lvl>
    <w:lvl w:ilvl="1">
      <w:lvlJc w:val="left"/>
      <w:lvlText w:val="(%2)"/>
      <w:numFmt w:val="lowerLetter"/>
      <w:start w:val="2"/>
    </w:lvl>
  </w:abstractNum>
  <w:abstractNum w:abstractNumId="26">
    <w:nsid w:val="7055A5F5"/>
    <w:multiLevelType w:val="hybridMultilevel"/>
    <w:lvl w:ilvl="0">
      <w:lvlJc w:val="left"/>
      <w:lvlText w:val="(%1)"/>
      <w:numFmt w:val="lowerLetter"/>
      <w:start w:val="3"/>
    </w:lvl>
  </w:abstractNum>
  <w:abstractNum w:abstractNumId="27">
    <w:nsid w:val="5FB8370B"/>
    <w:multiLevelType w:val="hybridMultilevel"/>
    <w:lvl w:ilvl="0">
      <w:lvlJc w:val="left"/>
      <w:lvlText w:val="(%1)"/>
      <w:numFmt w:val="lowerLetter"/>
      <w:start w:val="1"/>
    </w:lvl>
  </w:abstractNum>
  <w:abstractNum w:abstractNumId="28">
    <w:nsid w:val="50801EE1"/>
    <w:multiLevelType w:val="hybridMultilevel"/>
    <w:lvl w:ilvl="0">
      <w:lvlJc w:val="left"/>
      <w:lvlText w:val="(%1)"/>
      <w:numFmt w:val="lowerLetter"/>
      <w:start w:val="1"/>
    </w:lvl>
  </w:abstractNum>
  <w:abstractNum w:abstractNumId="29">
    <w:nsid w:val="488AC1A"/>
    <w:multiLevelType w:val="hybridMultilevel"/>
    <w:lvl w:ilvl="0">
      <w:lvlJc w:val="left"/>
      <w:lvlText w:val="(%1)"/>
      <w:numFmt w:val="lowerLetter"/>
      <w:start w:val="3"/>
    </w:lvl>
  </w:abstractNum>
  <w:abstractNum w:abstractNumId="30">
    <w:nsid w:val="5FB8011C"/>
    <w:multiLevelType w:val="hybridMultilevel"/>
    <w:lvl w:ilvl="0">
      <w:lvlJc w:val="left"/>
      <w:lvlText w:val="(%1)"/>
      <w:numFmt w:val="lowerLetter"/>
      <w:start w:val="3"/>
    </w:lvl>
  </w:abstractNum>
  <w:abstractNum w:abstractNumId="31">
    <w:nsid w:val="6AA78F7F"/>
    <w:multiLevelType w:val="hybridMultilevel"/>
    <w:lvl w:ilvl="0">
      <w:lvlJc w:val="left"/>
      <w:lvlText w:val="(%1)"/>
      <w:numFmt w:val="lowerLetter"/>
      <w:start w:val="1"/>
    </w:lvl>
  </w:abstractNum>
  <w:abstractNum w:abstractNumId="32">
    <w:nsid w:val="7672BD23"/>
    <w:multiLevelType w:val="hybridMultilevel"/>
    <w:lvl w:ilvl="0">
      <w:lvlJc w:val="left"/>
      <w:lvlText w:val="(%1)"/>
      <w:numFmt w:val="lowerLetter"/>
      <w:start w:val="2"/>
    </w:lvl>
  </w:abstractNum>
  <w:abstractNum w:abstractNumId="33">
    <w:nsid w:val="6FC75AF8"/>
    <w:multiLevelType w:val="hybridMultilevel"/>
    <w:lvl w:ilvl="0">
      <w:lvlJc w:val="left"/>
      <w:lvlText w:val="(%1)"/>
      <w:numFmt w:val="lowerLetter"/>
      <w:start w:val="1"/>
    </w:lvl>
  </w:abstractNum>
  <w:abstractNum w:abstractNumId="34">
    <w:nsid w:val="6A5F7029"/>
    <w:multiLevelType w:val="hybridMultilevel"/>
    <w:lvl w:ilvl="0">
      <w:lvlJc w:val="left"/>
      <w:lvlText w:val="%1"/>
      <w:numFmt w:val="decimal"/>
      <w:start w:val="1"/>
    </w:lvl>
    <w:lvl w:ilvl="1">
      <w:lvlJc w:val="left"/>
      <w:lvlText w:val="(%2)"/>
      <w:numFmt w:val="lowerLetter"/>
      <w:start w:val="2"/>
    </w:lvl>
  </w:abstractNum>
  <w:abstractNum w:abstractNumId="35">
    <w:nsid w:val="7D5E18F8"/>
    <w:multiLevelType w:val="hybridMultilevel"/>
    <w:lvl w:ilvl="0">
      <w:lvlJc w:val="left"/>
      <w:lvlText w:val="(%1)"/>
      <w:numFmt w:val="decimal"/>
      <w:start w:val="2"/>
    </w:lvl>
    <w:lvl w:ilvl="1">
      <w:lvlJc w:val="left"/>
      <w:lvlText w:val="%2"/>
      <w:numFmt w:val="lowerLetter"/>
      <w:start w:val="1"/>
    </w:lvl>
  </w:abstractNum>
  <w:abstractNum w:abstractNumId="36">
    <w:nsid w:val="5F3534A4"/>
    <w:multiLevelType w:val="hybridMultilevel"/>
    <w:lvl w:ilvl="0">
      <w:lvlJc w:val="left"/>
      <w:lvlText w:val="(%1)"/>
      <w:numFmt w:val="lowerLetter"/>
      <w:start w:val="2"/>
    </w:lvl>
  </w:abstractNum>
  <w:abstractNum w:abstractNumId="37">
    <w:nsid w:val="73A1821B"/>
    <w:multiLevelType w:val="hybridMultilevel"/>
    <w:lvl w:ilvl="0">
      <w:lvlJc w:val="left"/>
      <w:lvlText w:val="(%1)"/>
      <w:numFmt w:val="lowerRoman"/>
      <w:start w:val="1"/>
    </w:lvl>
  </w:abstractNum>
  <w:abstractNum w:abstractNumId="38">
    <w:nsid w:val="7DE67713"/>
    <w:multiLevelType w:val="hybridMultilevel"/>
    <w:lvl w:ilvl="0">
      <w:lvlJc w:val="left"/>
      <w:lvlText w:val="(%1)"/>
      <w:numFmt w:val="lowerRoman"/>
      <w:start w:val="3"/>
    </w:lvl>
  </w:abstractNum>
  <w:abstractNum w:abstractNumId="39">
    <w:nsid w:val="555C55B5"/>
    <w:multiLevelType w:val="hybridMultilevel"/>
    <w:lvl w:ilvl="0">
      <w:lvlJc w:val="left"/>
      <w:lvlText w:val="(%1)"/>
      <w:numFmt w:val="lowerRoman"/>
      <w:start w:val="4"/>
    </w:lvl>
  </w:abstractNum>
  <w:abstractNum w:abstractNumId="40">
    <w:nsid w:val="3FA62ACA"/>
    <w:multiLevelType w:val="hybridMultilevel"/>
    <w:lvl w:ilvl="0">
      <w:lvlJc w:val="left"/>
      <w:lvlText w:val="(%1)"/>
      <w:numFmt w:val="lowerRoman"/>
      <w:start w:val="1"/>
    </w:lvl>
  </w:abstractNum>
  <w:abstractNum w:abstractNumId="41">
    <w:nsid w:val="14FCE74E"/>
    <w:multiLevelType w:val="hybridMultilevel"/>
    <w:lvl w:ilvl="0">
      <w:lvlJc w:val="left"/>
      <w:lvlText w:val="(%1)"/>
      <w:numFmt w:val="lowerLetter"/>
      <w:start w:val="2"/>
    </w:lvl>
    <w:lvl w:ilvl="1">
      <w:lvlJc w:val="left"/>
      <w:lvlText w:val="(%2)"/>
      <w:numFmt w:val="lowerLetter"/>
      <w:start w:val="9"/>
    </w:lvl>
  </w:abstractNum>
  <w:abstractNum w:abstractNumId="42">
    <w:nsid w:val="6A3DD3E8"/>
    <w:multiLevelType w:val="hybridMultilevel"/>
    <w:lvl w:ilvl="0">
      <w:lvlJc w:val="left"/>
      <w:lvlText w:val="(%1)"/>
      <w:numFmt w:val="lowerRoman"/>
      <w:start w:val="2"/>
    </w:lvl>
  </w:abstractNum>
  <w:abstractNum w:abstractNumId="43">
    <w:nsid w:val="71C9129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4">
    <w:nsid w:val="9DAF632"/>
    <w:multiLevelType w:val="hybridMultilevel"/>
    <w:lvl w:ilvl="0">
      <w:lvlJc w:val="left"/>
      <w:lvlText w:val="(%1)"/>
      <w:numFmt w:val="upperLetter"/>
      <w:start w:val="3"/>
    </w:lvl>
  </w:abstractNum>
  <w:abstractNum w:abstractNumId="45">
    <w:nsid w:val="53299938"/>
    <w:multiLevelType w:val="hybridMultilevel"/>
    <w:lvl w:ilvl="0">
      <w:lvlJc w:val="left"/>
      <w:lvlText w:val="(%1)"/>
      <w:numFmt w:val="upperLetter"/>
      <w:start w:val="4"/>
    </w:lvl>
  </w:abstractNum>
  <w:abstractNum w:abstractNumId="46">
    <w:nsid w:val="1FBFE8E0"/>
    <w:multiLevelType w:val="hybridMultilevel"/>
    <w:lvl w:ilvl="0">
      <w:lvlJc w:val="left"/>
      <w:lvlText w:val="%1"/>
      <w:numFmt w:val="upperLetter"/>
      <w:start w:val="1"/>
    </w:lvl>
    <w:lvl w:ilvl="1">
      <w:lvlJc w:val="left"/>
      <w:lvlText w:val="(%2)"/>
      <w:numFmt w:val="lowerRoman"/>
      <w:start w:val="3"/>
    </w:lvl>
  </w:abstractNum>
  <w:abstractNum w:abstractNumId="47">
    <w:nsid w:val="5092CA79"/>
    <w:multiLevelType w:val="hybridMultilevel"/>
    <w:lvl w:ilvl="0">
      <w:lvlJc w:val="left"/>
      <w:lvlText w:val="(%1)"/>
      <w:numFmt w:val="upperLetter"/>
      <w:start w:val="1"/>
    </w:lvl>
    <w:lvl w:ilvl="1">
      <w:lvlJc w:val="left"/>
      <w:lvlText w:val="(%2)"/>
      <w:numFmt w:val="lowerRoman"/>
      <w:start w:val="4"/>
    </w:lvl>
  </w:abstractNum>
  <w:abstractNum w:abstractNumId="48">
    <w:nsid w:val="1D545C4D"/>
    <w:multiLevelType w:val="hybridMultilevel"/>
    <w:lvl w:ilvl="0">
      <w:lvlJc w:val="left"/>
      <w:lvlText w:val="(%1)"/>
      <w:numFmt w:val="lowerRoman"/>
      <w:start w:val="1"/>
    </w:lvl>
  </w:abstractNum>
  <w:abstractNum w:abstractNumId="49">
    <w:nsid w:val="59ADEA3D"/>
    <w:multiLevelType w:val="hybridMultilevel"/>
    <w:lvl w:ilvl="0">
      <w:lvlJc w:val="left"/>
      <w:lvlText w:val="(%1)"/>
      <w:numFmt w:val="lowerRoman"/>
      <w:start w:val="5"/>
    </w:lvl>
  </w:abstractNum>
  <w:abstractNum w:abstractNumId="50">
    <w:nsid w:val="288F1A34"/>
    <w:multiLevelType w:val="hybridMultilevel"/>
    <w:lvl w:ilvl="0">
      <w:lvlJc w:val="left"/>
      <w:lvlText w:val="(%1)"/>
      <w:numFmt w:val="upperLetter"/>
      <w:start w:val="2"/>
    </w:lvl>
  </w:abstractNum>
  <w:abstractNum w:abstractNumId="51">
    <w:nsid w:val="2A155DBC"/>
    <w:multiLevelType w:val="hybridMultilevel"/>
    <w:lvl w:ilvl="0">
      <w:lvlJc w:val="left"/>
      <w:lvlText w:val="(%1)"/>
      <w:numFmt w:val="lowerRoman"/>
      <w:start w:val="4"/>
    </w:lvl>
  </w:abstractNum>
  <w:abstractNum w:abstractNumId="52">
    <w:nsid w:val="1D9F6E5F"/>
    <w:multiLevelType w:val="hybridMultilevel"/>
    <w:lvl w:ilvl="0">
      <w:lvlJc w:val="left"/>
      <w:lvlText w:val="(%1)"/>
      <w:numFmt w:val="lowerRoman"/>
      <w:start w:val="1"/>
    </w:lvl>
  </w:abstractNum>
  <w:abstractNum w:abstractNumId="53">
    <w:nsid w:val="97E1B4E"/>
    <w:multiLevelType w:val="hybridMultilevel"/>
    <w:lvl w:ilvl="0">
      <w:lvlJc w:val="left"/>
      <w:lvlText w:val="(%1)"/>
      <w:numFmt w:val="lowerRoman"/>
      <w:start w:val="1"/>
    </w:lvl>
  </w:abstractNum>
  <w:abstractNum w:abstractNumId="54">
    <w:nsid w:val="51088277"/>
    <w:multiLevelType w:val="hybridMultilevel"/>
    <w:lvl w:ilvl="0">
      <w:lvlJc w:val="left"/>
      <w:lvlText w:val="(%1)"/>
      <w:numFmt w:val="lowerLetter"/>
      <w:start w:val="3"/>
    </w:lvl>
    <w:lvl w:ilvl="1">
      <w:lvlJc w:val="left"/>
      <w:lvlText w:val="(%2)"/>
      <w:numFmt w:val="lowerRoman"/>
      <w:start w:val="1"/>
    </w:lvl>
  </w:abstractNum>
  <w:abstractNum w:abstractNumId="55">
    <w:nsid w:val="1CA0C5FA"/>
    <w:multiLevelType w:val="hybridMultilevel"/>
    <w:lvl w:ilvl="0">
      <w:lvlJc w:val="left"/>
      <w:lvlText w:val="(%1)"/>
      <w:numFmt w:val="lowerRoman"/>
      <w:start w:val="4"/>
    </w:lvl>
  </w:abstractNum>
  <w:abstractNum w:abstractNumId="56">
    <w:nsid w:val="53584BCB"/>
    <w:multiLevelType w:val="hybridMultilevel"/>
    <w:lvl w:ilvl="0">
      <w:lvlJc w:val="left"/>
      <w:lvlText w:val="(%1)"/>
      <w:numFmt w:val="lowerLetter"/>
      <w:start w:val="1"/>
    </w:lvl>
    <w:lvl w:ilvl="1">
      <w:lvlJc w:val="left"/>
      <w:lvlText w:val="(%2)"/>
      <w:numFmt w:val="lowerLetter"/>
      <w:start w:val="9"/>
    </w:lvl>
  </w:abstractNum>
  <w:abstractNum w:abstractNumId="57">
    <w:nsid w:val="415E286C"/>
    <w:multiLevelType w:val="hybridMultilevel"/>
    <w:lvl w:ilvl="0">
      <w:lvlJc w:val="left"/>
      <w:lvlText w:val="%1"/>
      <w:numFmt w:val="lowerLetter"/>
      <w:start w:val="1"/>
    </w:lvl>
    <w:lvl w:ilvl="1">
      <w:lvlJc w:val="left"/>
      <w:lvlText w:val="(%2)"/>
      <w:numFmt w:val="lowerLetter"/>
      <w:start w:val="35"/>
    </w:lvl>
  </w:abstractNum>
  <w:abstractNum w:abstractNumId="58">
    <w:nsid w:val="7C58FD05"/>
    <w:multiLevelType w:val="hybridMultilevel"/>
    <w:lvl w:ilvl="0">
      <w:lvlJc w:val="left"/>
      <w:lvlText w:val="(%1)"/>
      <w:numFmt w:val="lowerLetter"/>
      <w:start w:val="2"/>
    </w:lvl>
    <w:lvl w:ilvl="1">
      <w:lvlJc w:val="left"/>
      <w:lvlText w:val="(%2)"/>
      <w:numFmt w:val="lowerLetter"/>
      <w:start w:val="9"/>
    </w:lvl>
  </w:abstractNum>
  <w:abstractNum w:abstractNumId="59">
    <w:nsid w:val="23D86AAC"/>
    <w:multiLevelType w:val="hybridMultilevel"/>
    <w:lvl w:ilvl="0">
      <w:lvlJc w:val="left"/>
      <w:lvlText w:val="(%1)"/>
      <w:numFmt w:val="lowerRoman"/>
      <w:start w:val="2"/>
    </w:lvl>
  </w:abstractNum>
  <w:abstractNum w:abstractNumId="60">
    <w:nsid w:val="45E6D486"/>
    <w:multiLevelType w:val="hybridMultilevel"/>
    <w:lvl w:ilvl="0">
      <w:lvlJc w:val="left"/>
      <w:lvlText w:val="%1"/>
      <w:numFmt w:val="lowerRoman"/>
      <w:start w:val="1"/>
    </w:lvl>
    <w:lvl w:ilvl="1">
      <w:lvlJc w:val="left"/>
      <w:lvlText w:val="(%2)"/>
      <w:numFmt w:val="lowerRoman"/>
      <w:start w:val="4"/>
    </w:lvl>
  </w:abstractNum>
  <w:abstractNum w:abstractNumId="61">
    <w:nsid w:val="5C10FE21"/>
    <w:multiLevelType w:val="hybridMultilevel"/>
    <w:lvl w:ilvl="0">
      <w:lvlJc w:val="left"/>
      <w:lvlText w:val="(%1)"/>
      <w:numFmt w:val="lowerRoman"/>
      <w:start w:val="1"/>
    </w:lvl>
    <w:lvl w:ilvl="1">
      <w:lvlJc w:val="left"/>
      <w:lvlText w:val="%2"/>
      <w:numFmt w:val="lowerRoman"/>
      <w:start w:val="1"/>
    </w:lvl>
  </w:abstractNum>
  <w:abstractNum w:abstractNumId="62">
    <w:nsid w:val="E7FFA2B"/>
    <w:multiLevelType w:val="hybridMultilevel"/>
    <w:lvl w:ilvl="0">
      <w:lvlJc w:val="left"/>
      <w:lvlText w:val="(%1)"/>
      <w:numFmt w:val="lowerRoman"/>
      <w:start w:val="2"/>
    </w:lvl>
  </w:abstractNum>
  <w:abstractNum w:abstractNumId="63">
    <w:nsid w:val="3C5991AA"/>
    <w:multiLevelType w:val="hybridMultilevel"/>
    <w:lvl w:ilvl="0">
      <w:lvlJc w:val="left"/>
      <w:lvlText w:val="(%1)"/>
      <w:numFmt w:val="lowerRoman"/>
      <w:start w:val="1"/>
    </w:lvl>
  </w:abstractNum>
  <w:abstractNum w:abstractNumId="64">
    <w:nsid w:val="4BD8591A"/>
    <w:multiLevelType w:val="hybridMultilevel"/>
    <w:lvl w:ilvl="0">
      <w:lvlJc w:val="left"/>
      <w:lvlText w:val="(%1)"/>
      <w:numFmt w:val="lowerRoman"/>
      <w:start w:val="3"/>
    </w:lvl>
  </w:abstractNum>
  <w:abstractNum w:abstractNumId="65">
    <w:nsid w:val="78DF6A55"/>
    <w:multiLevelType w:val="hybridMultilevel"/>
    <w:lvl w:ilvl="0">
      <w:lvlJc w:val="left"/>
      <w:lvlText w:val="(%1)"/>
      <w:numFmt w:val="lowerRoman"/>
      <w:start w:val="4"/>
    </w:lvl>
  </w:abstractNum>
  <w:abstractNum w:abstractNumId="66">
    <w:nsid w:val="39B7AAA2"/>
    <w:multiLevelType w:val="hybridMultilevel"/>
    <w:lvl w:ilvl="0">
      <w:lvlJc w:val="left"/>
      <w:lvlText w:val="(%1)"/>
      <w:numFmt w:val="lowerRoman"/>
      <w:start w:val="5"/>
    </w:lvl>
  </w:abstractNum>
  <w:abstractNum w:abstractNumId="67">
    <w:nsid w:val="2B0D8DB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8">
    <w:nsid w:val="6C80EC7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69">
    <w:nsid w:val="379E21B5"/>
    <w:multiLevelType w:val="hybridMultilevel"/>
    <w:lvl w:ilvl="0">
      <w:lvlJc w:val="left"/>
      <w:lvlText w:val="(%1)"/>
      <w:numFmt w:val="decimal"/>
      <w:start w:val="15"/>
    </w:lvl>
  </w:abstractNum>
  <w:abstractNum w:abstractNumId="70">
    <w:nsid w:val="69E373"/>
    <w:multiLevelType w:val="hybridMultilevel"/>
    <w:lvl w:ilvl="0">
      <w:lvlJc w:val="left"/>
      <w:lvlText w:val="(%1)"/>
      <w:numFmt w:val="lowerLetter"/>
      <w:start w:val="61"/>
    </w:lvl>
    <w:lvl w:ilvl="1">
      <w:lvlJc w:val="left"/>
      <w:lvlText w:val="(%2)"/>
      <w:numFmt w:val="lowerLetter"/>
      <w:start w:val="6"/>
    </w:lvl>
    <w:lvl w:ilvl="2">
      <w:lvlJc w:val="left"/>
      <w:lvlText w:val="(%3)"/>
      <w:numFmt w:val="lowerLetter"/>
      <w:start w:val="9"/>
    </w:lvl>
  </w:abstractNum>
  <w:abstractNum w:abstractNumId="71">
    <w:nsid w:val="2C27173B"/>
    <w:multiLevelType w:val="hybridMultilevel"/>
    <w:lvl w:ilvl="0">
      <w:lvlJc w:val="left"/>
      <w:lvlText w:val="(%1)"/>
      <w:numFmt w:val="lowerRoman"/>
      <w:start w:val="2"/>
    </w:lvl>
  </w:abstractNum>
  <w:abstractNum w:abstractNumId="72">
    <w:nsid w:val="4C9B0904"/>
    <w:multiLevelType w:val="hybridMultilevel"/>
    <w:lvl w:ilvl="0">
      <w:lvlJc w:val="left"/>
      <w:lvlText w:val="%1"/>
      <w:numFmt w:val="lowerLetter"/>
      <w:start w:val="1"/>
    </w:lvl>
    <w:lvl w:ilvl="1">
      <w:lvlJc w:val="left"/>
      <w:lvlText w:val="(%2)"/>
      <w:numFmt w:val="decimal"/>
      <w:start w:val="1"/>
    </w:lvl>
  </w:abstractNum>
  <w:abstractNum w:abstractNumId="73">
    <w:nsid w:val="6AA7B75C"/>
    <w:multiLevelType w:val="hybridMultilevel"/>
    <w:lvl w:ilvl="0">
      <w:lvlJc w:val="left"/>
      <w:lvlText w:val="(%1)"/>
      <w:numFmt w:val="lowerLetter"/>
      <w:start w:val="24"/>
    </w:lvl>
    <w:lvl w:ilvl="1">
      <w:lvlJc w:val="left"/>
      <w:lvlText w:val="(%2)"/>
      <w:numFmt w:val="decimal"/>
      <w:start w:val="4"/>
    </w:lvl>
  </w:abstractNum>
  <w:abstractNum w:abstractNumId="74">
    <w:nsid w:val="1DF029D3"/>
    <w:multiLevelType w:val="hybridMultilevel"/>
    <w:lvl w:ilvl="0">
      <w:lvlJc w:val="left"/>
      <w:lvlText w:val="(%1)"/>
      <w:numFmt w:val="lowerRoman"/>
      <w:start w:val="3"/>
    </w:lvl>
  </w:abstractNum>
  <w:abstractNum w:abstractNumId="75">
    <w:nsid w:val="5675FF36"/>
    <w:multiLevelType w:val="hybridMultilevel"/>
    <w:lvl w:ilvl="0">
      <w:lvlJc w:val="left"/>
      <w:lvlText w:val="(%1)"/>
      <w:numFmt w:val="lowerRoman"/>
      <w:start w:val="5"/>
    </w:lvl>
  </w:abstractNum>
  <w:abstractNum w:abstractNumId="76">
    <w:nsid w:val="3DD15094"/>
    <w:multiLevelType w:val="hybridMultilevel"/>
    <w:lvl w:ilvl="0">
      <w:lvlJc w:val="left"/>
      <w:lvlText w:val="(%1)"/>
      <w:numFmt w:val="lowerLetter"/>
      <w:start w:val="6"/>
    </w:lvl>
  </w:abstractNum>
  <w:abstractNum w:abstractNumId="77">
    <w:nsid w:val="3DB012B3"/>
    <w:multiLevelType w:val="hybridMultilevel"/>
    <w:lvl w:ilvl="0">
      <w:lvlJc w:val="left"/>
      <w:lvlText w:val="(%1)"/>
      <w:numFmt w:val="lowerLetter"/>
      <w:start w:val="7"/>
    </w:lvl>
  </w:abstractNum>
  <w:abstractNum w:abstractNumId="78">
    <w:nsid w:val="2708C9AF"/>
    <w:multiLevelType w:val="hybridMultilevel"/>
    <w:lvl w:ilvl="0">
      <w:lvlJc w:val="left"/>
      <w:lvlText w:val="(%1)"/>
      <w:numFmt w:val="lowerLetter"/>
      <w:start w:val="12"/>
    </w:lvl>
    <w:lvl w:ilvl="1">
      <w:lvlJc w:val="left"/>
      <w:lvlText w:val="(%2)"/>
      <w:numFmt w:val="lowerLetter"/>
      <w:start w:val="9"/>
    </w:lvl>
  </w:abstractNum>
  <w:abstractNum w:abstractNumId="79">
    <w:nsid w:val="5B25ACE2"/>
    <w:multiLevelType w:val="hybridMultilevel"/>
    <w:lvl w:ilvl="0">
      <w:lvlJc w:val="left"/>
      <w:lvlText w:val="(%1)"/>
      <w:numFmt w:val="lowerRoman"/>
      <w:start w:val="2"/>
    </w:lvl>
  </w:abstractNum>
  <w:abstractNum w:abstractNumId="80">
    <w:nsid w:val="175DFCF0"/>
    <w:multiLevelType w:val="hybridMultilevel"/>
    <w:lvl w:ilvl="0">
      <w:lvlJc w:val="left"/>
      <w:lvlText w:val="(%1)"/>
      <w:numFmt w:val="lowerLetter"/>
      <w:start w:val="2"/>
    </w:lvl>
  </w:abstractNum>
  <w:abstractNum w:abstractNumId="81">
    <w:nsid w:val="4F97E3E4"/>
    <w:multiLevelType w:val="hybridMultilevel"/>
    <w:lvl w:ilvl="0">
      <w:lvlJc w:val="left"/>
      <w:lvlText w:val="(%1)"/>
      <w:numFmt w:val="lowerLetter"/>
      <w:start w:val="3"/>
    </w:lvl>
  </w:abstractNum>
  <w:abstractNum w:abstractNumId="82">
    <w:nsid w:val="53B0A9E"/>
    <w:multiLevelType w:val="hybridMultilevel"/>
    <w:lvl w:ilvl="0">
      <w:lvlJc w:val="left"/>
      <w:lvlText w:val="(%1)"/>
      <w:numFmt w:val="lowerRoman"/>
      <w:start w:val="2"/>
    </w:lvl>
  </w:abstractNum>
  <w:abstractNum w:abstractNumId="83">
    <w:nsid w:val="34FD6B4F"/>
    <w:multiLevelType w:val="hybridMultilevel"/>
    <w:lvl w:ilvl="0">
      <w:lvlJc w:val="left"/>
      <w:lvlText w:val="(%1)"/>
      <w:numFmt w:val="lowerLetter"/>
      <w:start w:val="1"/>
    </w:lvl>
  </w:abstractNum>
  <w:abstractNum w:abstractNumId="84">
    <w:nsid w:val="5915FF32"/>
    <w:multiLevelType w:val="hybridMultilevel"/>
    <w:lvl w:ilvl="0">
      <w:lvlJc w:val="left"/>
      <w:lvlText w:val="(%1)"/>
      <w:numFmt w:val="lowerLetter"/>
      <w:start w:val="1"/>
    </w:lvl>
  </w:abstractNum>
  <w:abstractNum w:abstractNumId="85">
    <w:nsid w:val="56438D15"/>
    <w:multiLevelType w:val="hybridMultilevel"/>
    <w:lvl w:ilvl="0">
      <w:lvlJc w:val="left"/>
      <w:lvlText w:val="(%1)"/>
      <w:numFmt w:val="lowerRoman"/>
      <w:start w:val="1"/>
    </w:lvl>
  </w:abstractNum>
  <w:abstractNum w:abstractNumId="86">
    <w:nsid w:val="519E3149"/>
    <w:multiLevelType w:val="hybridMultilevel"/>
    <w:lvl w:ilvl="0">
      <w:lvlJc w:val="left"/>
      <w:lvlText w:val="(%1)"/>
      <w:numFmt w:val="lowerRoman"/>
      <w:start w:val="5"/>
    </w:lvl>
  </w:abstractNum>
  <w:abstractNum w:abstractNumId="87">
    <w:nsid w:val="2C6E4AFD"/>
    <w:multiLevelType w:val="hybridMultilevel"/>
    <w:lvl w:ilvl="0">
      <w:lvlJc w:val="left"/>
      <w:lvlText w:val="(%1)"/>
      <w:numFmt w:val="lowerLetter"/>
      <w:start w:val="1"/>
    </w:lvl>
  </w:abstractNum>
  <w:abstractNum w:abstractNumId="88">
    <w:nsid w:val="17A1B582"/>
    <w:multiLevelType w:val="hybridMultilevel"/>
    <w:lvl w:ilvl="0">
      <w:lvlJc w:val="left"/>
      <w:lvlText w:val="(%1)"/>
      <w:numFmt w:val="lowerLetter"/>
      <w:start w:val="1"/>
    </w:lvl>
  </w:abstractNum>
  <w:abstractNum w:abstractNumId="89">
    <w:nsid w:val="4DF72E4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0">
    <w:nsid w:val="5046B5A9"/>
    <w:multiLevelType w:val="hybridMultilevel"/>
    <w:lvl w:ilvl="0">
      <w:lvlJc w:val="left"/>
      <w:lvlText w:val="(%1)"/>
      <w:numFmt w:val="decimal"/>
      <w:start w:val="120"/>
    </w:lvl>
    <w:lvl w:ilvl="1">
      <w:lvlJc w:val="left"/>
      <w:lvlText w:val="%2"/>
      <w:numFmt w:val="lowerLetter"/>
      <w:start w:val="1"/>
    </w:lvl>
    <w:lvl w:ilvl="2">
      <w:lvlJc w:val="left"/>
      <w:lvlText w:val="%3"/>
      <w:numFmt w:val="lowerRoman"/>
      <w:start w:val="1"/>
    </w:lvl>
  </w:abstractNum>
  <w:abstractNum w:abstractNumId="91">
    <w:nsid w:val="5D888A08"/>
    <w:multiLevelType w:val="hybridMultilevel"/>
    <w:lvl w:ilvl="0">
      <w:lvlJc w:val="left"/>
      <w:lvlText w:val="%1"/>
      <w:numFmt w:val="lowerRoman"/>
      <w:start w:val="1"/>
    </w:lvl>
    <w:lvl w:ilvl="1">
      <w:lvlJc w:val="left"/>
      <w:lvlText w:val="(%2)"/>
      <w:numFmt w:val="lowerRoman"/>
      <w:start w:val="1"/>
    </w:lvl>
  </w:abstractNum>
  <w:abstractNum w:abstractNumId="92">
    <w:nsid w:val="2A082C70"/>
    <w:multiLevelType w:val="hybridMultilevel"/>
    <w:lvl w:ilvl="0">
      <w:lvlJc w:val="left"/>
      <w:lvlText w:val="(%1)"/>
      <w:numFmt w:val="lowerRoman"/>
      <w:start w:val="1"/>
    </w:lvl>
    <w:lvl w:ilvl="1">
      <w:lvlJc w:val="left"/>
      <w:lvlText w:val="%2"/>
      <w:numFmt w:val="lowerRoman"/>
      <w:start w:val="1"/>
    </w:lvl>
  </w:abstractNum>
  <w:abstractNum w:abstractNumId="93">
    <w:nsid w:val="5EC6AFD4"/>
    <w:multiLevelType w:val="hybridMultilevel"/>
    <w:lvl w:ilvl="0">
      <w:lvlJc w:val="left"/>
      <w:lvlText w:val="%1"/>
      <w:numFmt w:val="lowerLetter"/>
      <w:start w:val="1"/>
    </w:lvl>
    <w:lvl w:ilvl="1">
      <w:lvlJc w:val="left"/>
      <w:lvlText w:val="(%2)"/>
      <w:numFmt w:val="lowerLetter"/>
      <w:start w:val="12"/>
    </w:lvl>
  </w:abstractNum>
  <w:abstractNum w:abstractNumId="94">
    <w:nsid w:val="19E21BB2"/>
    <w:multiLevelType w:val="hybridMultilevel"/>
    <w:lvl w:ilvl="0">
      <w:lvlJc w:val="left"/>
      <w:lvlText w:val="(%1)"/>
      <w:numFmt w:val="lowerLetter"/>
      <w:start w:val="35"/>
    </w:lvl>
    <w:lvl w:ilvl="1">
      <w:lvlJc w:val="left"/>
      <w:lvlText w:val="%2"/>
      <w:numFmt w:val="lowerLetter"/>
      <w:start w:val="1"/>
    </w:lvl>
  </w:abstractNum>
  <w:abstractNum w:abstractNumId="95">
    <w:nsid w:val="75E0858A"/>
    <w:multiLevelType w:val="hybridMultilevel"/>
    <w:lvl w:ilvl="0">
      <w:lvlJc w:val="left"/>
      <w:lvlText w:val="(%1)"/>
      <w:numFmt w:val="lowerLetter"/>
      <w:start w:val="1"/>
    </w:lvl>
  </w:abstractNum>
  <w:abstractNum w:abstractNumId="96">
    <w:nsid w:val="57A61A29"/>
    <w:multiLevelType w:val="hybridMultilevel"/>
    <w:lvl w:ilvl="0">
      <w:lvlJc w:val="left"/>
      <w:lvlText w:val="(%1)"/>
      <w:numFmt w:val="lowerLetter"/>
      <w:start w:val="6"/>
    </w:lvl>
  </w:abstractNum>
  <w:abstractNum w:abstractNumId="97">
    <w:nsid w:val="5399C654"/>
    <w:multiLevelType w:val="hybridMultilevel"/>
    <w:lvl w:ilvl="0">
      <w:lvlJc w:val="left"/>
      <w:lvlText w:val="(%1)"/>
      <w:numFmt w:val="lowerLetter"/>
      <w:start w:val="3"/>
    </w:lvl>
  </w:abstractNum>
  <w:abstractNum w:abstractNumId="98">
    <w:nsid w:val="20EE1348"/>
    <w:multiLevelType w:val="hybridMultilevel"/>
    <w:lvl w:ilvl="0">
      <w:lvlJc w:val="left"/>
      <w:lvlText w:val="(%1)"/>
      <w:numFmt w:val="lowerRoman"/>
      <w:start w:val="4"/>
    </w:lvl>
  </w:abstractNum>
  <w:abstractNum w:abstractNumId="99">
    <w:nsid w:val="4427069A"/>
    <w:multiLevelType w:val="hybridMultilevel"/>
    <w:lvl w:ilvl="0">
      <w:lvlJc w:val="left"/>
      <w:lvlText w:val="(%1)"/>
      <w:numFmt w:val="upperLetter"/>
      <w:start w:val="1"/>
    </w:lvl>
  </w:abstractNum>
  <w:abstractNum w:abstractNumId="100">
    <w:nsid w:val="B37E80A"/>
    <w:multiLevelType w:val="hybridMultilevel"/>
    <w:lvl w:ilvl="0">
      <w:lvlJc w:val="left"/>
      <w:lvlText w:val="(%1)"/>
      <w:numFmt w:val="lowerRoman"/>
      <w:start w:val="2"/>
    </w:lvl>
  </w:abstractNum>
  <w:abstractNum w:abstractNumId="101">
    <w:nsid w:val="2157F6BC"/>
    <w:multiLevelType w:val="hybridMultilevel"/>
    <w:lvl w:ilvl="0">
      <w:lvlJc w:val="left"/>
      <w:lvlText w:val="(%1)"/>
      <w:numFmt w:val="lowerRoman"/>
      <w:start w:val="1"/>
    </w:lvl>
  </w:abstractNum>
  <w:abstractNum w:abstractNumId="102">
    <w:nsid w:val="704E1DD5"/>
    <w:multiLevelType w:val="hybridMultilevel"/>
    <w:lvl w:ilvl="0">
      <w:lvlJc w:val="left"/>
      <w:lvlText w:val="(%1)"/>
      <w:numFmt w:val="lowerRoman"/>
      <w:start w:val="1"/>
    </w:lvl>
  </w:abstractNum>
  <w:abstractNum w:abstractNumId="103">
    <w:nsid w:val="57D2F10E"/>
    <w:multiLevelType w:val="hybridMultilevel"/>
    <w:lvl w:ilvl="0">
      <w:lvlJc w:val="left"/>
      <w:lvlText w:val="(%1)"/>
      <w:numFmt w:val="lowerRoman"/>
      <w:start w:val="1"/>
    </w:lvl>
  </w:abstractNum>
  <w:abstractNum w:abstractNumId="104">
    <w:nsid w:val="BFFAE18"/>
    <w:multiLevelType w:val="hybridMultilevel"/>
    <w:lvl w:ilvl="0">
      <w:lvlJc w:val="left"/>
      <w:lvlText w:val="(%1)"/>
      <w:numFmt w:val="lowerRoman"/>
      <w:start w:val="3"/>
    </w:lvl>
  </w:abstractNum>
  <w:abstractNum w:abstractNumId="105">
    <w:nsid w:val="E3E47A8"/>
    <w:multiLevelType w:val="hybridMultilevel"/>
    <w:lvl w:ilvl="0">
      <w:lvlJc w:val="left"/>
      <w:lvlText w:val="(%1)"/>
      <w:numFmt w:val="lowerLetter"/>
      <w:start w:val="1"/>
    </w:lvl>
  </w:abstractNum>
  <w:abstractNum w:abstractNumId="106">
    <w:nsid w:val="2E48F044"/>
    <w:multiLevelType w:val="hybridMultilevel"/>
    <w:lvl w:ilvl="0">
      <w:lvlJc w:val="left"/>
      <w:lvlText w:val="(%1)"/>
      <w:numFmt w:val="lowerRoman"/>
      <w:start w:val="1"/>
    </w:lvl>
  </w:abstractNum>
  <w:abstractNum w:abstractNumId="107">
    <w:nsid w:val="49D0FEAC"/>
    <w:multiLevelType w:val="hybridMultilevel"/>
    <w:lvl w:ilvl="0">
      <w:lvlJc w:val="left"/>
      <w:lvlText w:val="(%1)"/>
      <w:numFmt w:val="lowerLetter"/>
      <w:start w:val="11"/>
    </w:lvl>
  </w:abstractNum>
  <w:abstractNum w:abstractNumId="108">
    <w:nsid w:val="4BEE5A5B"/>
    <w:multiLevelType w:val="hybridMultilevel"/>
    <w:lvl w:ilvl="0">
      <w:lvlJc w:val="left"/>
      <w:lvlText w:val="(%1)"/>
      <w:numFmt w:val="lowerLetter"/>
      <w:start w:val="2"/>
    </w:lvl>
  </w:abstractNum>
  <w:abstractNum w:abstractNumId="109">
    <w:nsid w:val="5551B9F3"/>
    <w:multiLevelType w:val="hybridMultilevel"/>
    <w:lvl w:ilvl="0">
      <w:lvlJc w:val="left"/>
      <w:lvlText w:val="(%1)"/>
      <w:numFmt w:val="lowerLetter"/>
      <w:start w:val="5"/>
    </w:lvl>
  </w:abstractNum>
  <w:abstractNum w:abstractNumId="110">
    <w:nsid w:val="24F6AB8E"/>
    <w:multiLevelType w:val="hybridMultilevel"/>
    <w:lvl w:ilvl="0">
      <w:lvlJc w:val="left"/>
      <w:lvlText w:val="(%1)"/>
      <w:numFmt w:val="lowerLetter"/>
      <w:start w:val="7"/>
    </w:lvl>
  </w:abstractNum>
  <w:abstractNum w:abstractNumId="111">
    <w:nsid w:val="634C574C"/>
    <w:multiLevelType w:val="hybridMultilevel"/>
    <w:lvl w:ilvl="0">
      <w:lvlJc w:val="left"/>
      <w:lvlText w:val="(%1)"/>
      <w:numFmt w:val="lowerRoman"/>
      <w:start w:val="1"/>
    </w:lvl>
  </w:abstractNum>
  <w:abstractNum w:abstractNumId="112">
    <w:nsid w:val="24E99DD7"/>
    <w:multiLevelType w:val="hybridMultilevel"/>
    <w:lvl w:ilvl="0">
      <w:lvlJc w:val="left"/>
      <w:lvlText w:val="(%1)"/>
      <w:numFmt w:val="lowerRoman"/>
      <w:start w:val="3"/>
    </w:lvl>
  </w:abstractNum>
  <w:abstractNum w:abstractNumId="113">
    <w:nsid w:val="2A31B62D"/>
    <w:multiLevelType w:val="hybridMultilevel"/>
    <w:lvl w:ilvl="0">
      <w:lvlJc w:val="left"/>
      <w:lvlText w:val="(%1)"/>
      <w:numFmt w:val="lowerLetter"/>
      <w:start w:val="5"/>
    </w:lvl>
  </w:abstractNum>
  <w:abstractNum w:abstractNumId="114">
    <w:nsid w:val="1849C29B"/>
    <w:multiLevelType w:val="hybridMultilevel"/>
    <w:lvl w:ilvl="0">
      <w:lvlJc w:val="left"/>
      <w:lvlText w:val="(%1)"/>
      <w:numFmt w:val="lowerLetter"/>
      <w:start w:val="1"/>
    </w:lvl>
  </w:abstractNum>
  <w:abstractNum w:abstractNumId="115">
    <w:nsid w:val="7DFF9D09"/>
    <w:multiLevelType w:val="hybridMultilevel"/>
    <w:lvl w:ilvl="0">
      <w:lvlJc w:val="left"/>
      <w:lvlText w:val="(%1)"/>
      <w:numFmt w:val="lowerLetter"/>
      <w:start w:val="4"/>
    </w:lvl>
  </w:abstractNum>
  <w:abstractNum w:abstractNumId="116">
    <w:nsid w:val="754342"/>
    <w:multiLevelType w:val="hybridMultilevel"/>
    <w:lvl w:ilvl="0">
      <w:lvlJc w:val="left"/>
      <w:lvlText w:val="(%1)"/>
      <w:numFmt w:val="lowerLetter"/>
      <w:start w:val="6"/>
    </w:lvl>
  </w:abstractNum>
  <w:abstractNum w:abstractNumId="117">
    <w:nsid w:val="69E7F3E5"/>
    <w:multiLevelType w:val="hybridMultilevel"/>
    <w:lvl w:ilvl="0">
      <w:lvlJc w:val="left"/>
      <w:lvlText w:val="(%1)"/>
      <w:numFmt w:val="lowerRoman"/>
      <w:start w:val="1"/>
    </w:lvl>
  </w:abstractNum>
  <w:abstractNum w:abstractNumId="118">
    <w:nsid w:val="2A6DE806"/>
    <w:multiLevelType w:val="hybridMultilevel"/>
    <w:lvl w:ilvl="0">
      <w:lvlJc w:val="left"/>
      <w:lvlText w:val="(%1)"/>
      <w:numFmt w:val="lowerRoman"/>
      <w:start w:val="6"/>
    </w:lvl>
  </w:abstractNum>
  <w:abstractNum w:abstractNumId="119">
    <w:nsid w:val="1816F8C4"/>
    <w:multiLevelType w:val="hybridMultilevel"/>
    <w:lvl w:ilvl="0">
      <w:lvlJc w:val="left"/>
      <w:lvlText w:val="(%1)"/>
      <w:numFmt w:val="lowerLetter"/>
      <w:start w:val="12"/>
    </w:lvl>
  </w:abstractNum>
  <w:abstractNum w:abstractNumId="120">
    <w:nsid w:val="37DF2233"/>
    <w:multiLevelType w:val="hybridMultilevel"/>
    <w:lvl w:ilvl="0">
      <w:lvlJc w:val="left"/>
      <w:lvlText w:val="(%1)"/>
      <w:numFmt w:val="lowerRoman"/>
      <w:start w:val="1"/>
    </w:lvl>
  </w:abstractNum>
  <w:abstractNum w:abstractNumId="121">
    <w:nsid w:val="7AB49DAF"/>
    <w:multiLevelType w:val="hybridMultilevel"/>
    <w:lvl w:ilvl="0">
      <w:lvlJc w:val="left"/>
      <w:lvlText w:val="(%1)"/>
      <w:numFmt w:val="lowerRoman"/>
      <w:start w:val="3"/>
    </w:lvl>
  </w:abstractNum>
  <w:abstractNum w:abstractNumId="122">
    <w:nsid w:val="759F82CD"/>
    <w:multiLevelType w:val="hybridMultilevel"/>
    <w:lvl w:ilvl="0">
      <w:lvlJc w:val="left"/>
      <w:lvlText w:val="(%1)"/>
      <w:numFmt w:val="upperLetter"/>
      <w:start w:val="1"/>
    </w:lvl>
  </w:abstractNum>
  <w:abstractNum w:abstractNumId="123">
    <w:nsid w:val="61E74EA3"/>
    <w:multiLevelType w:val="hybridMultilevel"/>
    <w:lvl w:ilvl="0">
      <w:lvlJc w:val="left"/>
      <w:lvlText w:val="(%1)"/>
      <w:numFmt w:val="lowerLetter"/>
      <w:start w:val="2"/>
    </w:lvl>
  </w:abstractNum>
  <w:abstractNum w:abstractNumId="124">
    <w:nsid w:val="597B4D84"/>
    <w:multiLevelType w:val="hybridMultilevel"/>
    <w:lvl w:ilvl="0">
      <w:lvlJc w:val="left"/>
      <w:lvlText w:val="%1)"/>
      <w:numFmt w:val="decimal"/>
      <w:start w:val="715"/>
    </w:lvl>
  </w:abstractNum>
  <w:abstractNum w:abstractNumId="125">
    <w:nsid w:val="F819E7F"/>
    <w:multiLevelType w:val="hybridMultilevel"/>
    <w:lvl w:ilvl="0">
      <w:lvlJc w:val="left"/>
      <w:lvlText w:val="%1"/>
      <w:numFmt w:val="lowerLetter"/>
      <w:start w:val="1"/>
    </w:lvl>
    <w:lvl w:ilvl="1">
      <w:lvlJc w:val="left"/>
      <w:lvlText w:val="(%2)"/>
      <w:numFmt w:val="lowerLetter"/>
      <w:start w:val="2"/>
    </w:lvl>
  </w:abstractNum>
  <w:abstractNum w:abstractNumId="126">
    <w:nsid w:val="57C7D42D"/>
    <w:multiLevelType w:val="hybridMultilevel"/>
    <w:lvl w:ilvl="0">
      <w:lvlJc w:val="left"/>
      <w:lvlText w:val="(%1)"/>
      <w:numFmt w:val="lowerLetter"/>
      <w:start w:val="9"/>
    </w:lvl>
    <w:lvl w:ilvl="1">
      <w:lvlJc w:val="left"/>
      <w:lvlText w:val="%2"/>
      <w:numFmt w:val="lowerLetter"/>
      <w:start w:val="1"/>
    </w:lvl>
  </w:abstractNum>
  <w:abstractNum w:abstractNumId="127">
    <w:nsid w:val="312167AD"/>
    <w:multiLevelType w:val="hybridMultilevel"/>
    <w:lvl w:ilvl="0">
      <w:lvlJc w:val="left"/>
      <w:lvlText w:val="(%1)"/>
      <w:numFmt w:val="lowerLetter"/>
      <w:start w:val="1"/>
    </w:lvl>
  </w:abstractNum>
  <w:abstractNum w:abstractNumId="128">
    <w:nsid w:val="631B64D4"/>
    <w:multiLevelType w:val="hybridMultilevel"/>
    <w:lvl w:ilvl="0">
      <w:lvlJc w:val="left"/>
      <w:lvlText w:val="(%1)"/>
      <w:numFmt w:val="lowerLetter"/>
      <w:start w:val="4"/>
    </w:lvl>
  </w:abstractNum>
  <w:abstractNum w:abstractNumId="129">
    <w:nsid w:val="78B5E776"/>
    <w:multiLevelType w:val="hybridMultilevel"/>
    <w:lvl w:ilvl="0">
      <w:lvlJc w:val="left"/>
      <w:lvlText w:val="(%1)"/>
      <w:numFmt w:val="lowerLetter"/>
      <w:start w:val="5"/>
    </w:lvl>
  </w:abstractNum>
  <w:abstractNum w:abstractNumId="130">
    <w:nsid w:val="75486E47"/>
    <w:multiLevelType w:val="hybridMultilevel"/>
    <w:lvl w:ilvl="0">
      <w:lvlJc w:val="left"/>
      <w:lvlText w:val="(%1)"/>
      <w:numFmt w:val="lowerRoman"/>
      <w:start w:val="3"/>
    </w:lvl>
  </w:abstractNum>
  <w:abstractNum w:abstractNumId="131">
    <w:nsid w:val="6E534CDE"/>
    <w:multiLevelType w:val="hybridMultilevel"/>
    <w:lvl w:ilvl="0">
      <w:lvlJc w:val="left"/>
      <w:lvlText w:val="(%1)"/>
      <w:numFmt w:val="lowerLetter"/>
      <w:start w:val="10"/>
    </w:lvl>
  </w:abstractNum>
  <w:abstractNum w:abstractNumId="132">
    <w:nsid w:val="1A0DDE32"/>
    <w:multiLevelType w:val="hybridMultilevel"/>
    <w:lvl w:ilvl="0">
      <w:lvlJc w:val="left"/>
      <w:lvlText w:val="(%1)"/>
      <w:numFmt w:val="lowerLetter"/>
      <w:start w:val="11"/>
    </w:lvl>
  </w:abstractNum>
  <w:abstractNum w:abstractNumId="133">
    <w:nsid w:val="65968C1C"/>
    <w:multiLevelType w:val="hybridMultilevel"/>
    <w:lvl w:ilvl="0">
      <w:lvlJc w:val="left"/>
      <w:lvlText w:val="(%1)"/>
      <w:numFmt w:val="lowerLetter"/>
      <w:start w:val="2"/>
    </w:lvl>
    <w:lvl w:ilvl="1">
      <w:lvlJc w:val="left"/>
      <w:lvlText w:val="(%2)"/>
      <w:numFmt w:val="lowerRoman"/>
      <w:start w:val="1"/>
    </w:lvl>
  </w:abstractNum>
  <w:abstractNum w:abstractNumId="134">
    <w:nsid w:val="46263DEC"/>
    <w:multiLevelType w:val="hybridMultilevel"/>
    <w:lvl w:ilvl="0">
      <w:lvlJc w:val="left"/>
      <w:lvlText w:val="(%1)"/>
      <w:numFmt w:val="lowerRoman"/>
      <w:start w:val="6"/>
    </w:lvl>
  </w:abstractNum>
  <w:abstractNum w:abstractNumId="135">
    <w:nsid w:val="260D8C4A"/>
    <w:multiLevelType w:val="hybridMultilevel"/>
    <w:lvl w:ilvl="0">
      <w:lvlJc w:val="left"/>
      <w:lvlText w:val="(%1)"/>
      <w:numFmt w:val="lowerRoman"/>
      <w:start w:val="3"/>
    </w:lvl>
  </w:abstractNum>
  <w:abstractNum w:abstractNumId="136">
    <w:nsid w:val="73D4D3C4"/>
    <w:multiLevelType w:val="hybridMultilevel"/>
    <w:lvl w:ilvl="0">
      <w:lvlJc w:val="left"/>
      <w:lvlText w:val="(%1)"/>
      <w:numFmt w:val="lowerRoman"/>
      <w:start w:val="2"/>
    </w:lvl>
  </w:abstractNum>
  <w:abstractNum w:abstractNumId="137">
    <w:nsid w:val="746F2E30"/>
    <w:multiLevelType w:val="hybridMultilevel"/>
    <w:lvl w:ilvl="0">
      <w:lvlJc w:val="left"/>
      <w:lvlText w:val="(%1)"/>
      <w:numFmt w:val="lowerRoman"/>
      <w:start w:val="1"/>
    </w:lvl>
  </w:abstractNum>
  <w:abstractNum w:abstractNumId="138">
    <w:nsid w:val="6FDE8AF6"/>
    <w:multiLevelType w:val="hybridMultilevel"/>
    <w:lvl w:ilvl="0">
      <w:lvlJc w:val="left"/>
      <w:lvlText w:val="(%1)"/>
      <w:numFmt w:val="lowerRoman"/>
      <w:start w:val="1"/>
    </w:lvl>
  </w:abstractNum>
  <w:abstractNum w:abstractNumId="139">
    <w:nsid w:val="3FC32E20"/>
    <w:multiLevelType w:val="hybridMultilevel"/>
    <w:lvl w:ilvl="0">
      <w:lvlJc w:val="left"/>
      <w:lvlText w:val="(%1)"/>
      <w:numFmt w:val="lowerLetter"/>
      <w:start w:val="2"/>
    </w:lvl>
  </w:abstractNum>
  <w:abstractNum w:abstractNumId="140">
    <w:nsid w:val="49C0E823"/>
    <w:multiLevelType w:val="hybridMultilevel"/>
    <w:lvl w:ilvl="0">
      <w:lvlJc w:val="left"/>
      <w:lvlText w:val="(%1)"/>
      <w:numFmt w:val="lowerLetter"/>
      <w:start w:val="2"/>
    </w:lvl>
  </w:abstractNum>
  <w:abstractNum w:abstractNumId="141">
    <w:nsid w:val="14D53685"/>
    <w:multiLevelType w:val="hybridMultilevel"/>
    <w:lvl w:ilvl="0">
      <w:lvlJc w:val="left"/>
      <w:lvlText w:val="(%1)"/>
      <w:numFmt w:val="lowerRoman"/>
      <w:start w:val="1"/>
    </w:lvl>
  </w:abstractNum>
  <w:abstractNum w:abstractNumId="142">
    <w:nsid w:val="230F856C"/>
    <w:multiLevelType w:val="hybridMultilevel"/>
    <w:lvl w:ilvl="0">
      <w:lvlJc w:val="left"/>
      <w:lvlText w:val="(%1)"/>
      <w:numFmt w:val="lowerLetter"/>
      <w:start w:val="26"/>
    </w:lvl>
  </w:abstractNum>
  <w:abstractNum w:abstractNumId="143">
    <w:nsid w:val="6EAA85FB"/>
    <w:multiLevelType w:val="hybridMultilevel"/>
    <w:lvl w:ilvl="0">
      <w:lvlJc w:val="left"/>
      <w:lvlText w:val="(%1)"/>
      <w:numFmt w:val="lowerRoman"/>
      <w:start w:val="1"/>
    </w:lvl>
  </w:abstractNum>
  <w:abstractNum w:abstractNumId="144">
    <w:nsid w:val="3F06ECB2"/>
    <w:multiLevelType w:val="hybridMultilevel"/>
    <w:lvl w:ilvl="0">
      <w:lvlJc w:val="left"/>
      <w:lvlText w:val="(%1)"/>
      <w:numFmt w:val="lowerRoman"/>
      <w:start w:val="3"/>
    </w:lvl>
  </w:abstractNum>
  <w:abstractNum w:abstractNumId="145">
    <w:nsid w:val="3B594807"/>
    <w:multiLevelType w:val="hybridMultilevel"/>
    <w:lvl w:ilvl="0">
      <w:lvlJc w:val="left"/>
      <w:lvlText w:val="(%1)"/>
      <w:numFmt w:val="lowerLetter"/>
      <w:start w:val="2"/>
    </w:lvl>
    <w:lvl w:ilvl="1">
      <w:lvlJc w:val="left"/>
      <w:lvlText w:val="(%2)"/>
      <w:numFmt w:val="lowerLetter"/>
      <w:start w:val="9"/>
    </w:lvl>
  </w:abstractNum>
  <w:abstractNum w:abstractNumId="146">
    <w:nsid w:val="6CAA2304"/>
    <w:multiLevelType w:val="hybridMultilevel"/>
    <w:lvl w:ilvl="0">
      <w:lvlJc w:val="left"/>
      <w:lvlText w:val="(%1)"/>
      <w:numFmt w:val="lowerRoman"/>
      <w:start w:val="2"/>
    </w:lvl>
  </w:abstractNum>
  <w:abstractNum w:abstractNumId="147">
    <w:nsid w:val="3F7C2FF4"/>
    <w:multiLevelType w:val="hybridMultilevel"/>
    <w:lvl w:ilvl="0">
      <w:lvlJc w:val="left"/>
      <w:lvlText w:val="(%1)"/>
      <w:numFmt w:val="lowerLetter"/>
      <w:start w:val="4"/>
    </w:lvl>
    <w:lvl w:ilvl="1">
      <w:lvlJc w:val="left"/>
      <w:lvlText w:val="(%2)"/>
      <w:numFmt w:val="lowerRoman"/>
      <w:start w:val="1"/>
    </w:lvl>
  </w:abstractNum>
  <w:abstractNum w:abstractNumId="148">
    <w:nsid w:val="25413BEC"/>
    <w:multiLevelType w:val="hybridMultilevel"/>
    <w:lvl w:ilvl="0">
      <w:lvlJc w:val="left"/>
      <w:lvlText w:val="(%1)"/>
      <w:numFmt w:val="upperLetter"/>
      <w:start w:val="2"/>
    </w:lvl>
  </w:abstractNum>
  <w:abstractNum w:abstractNumId="149">
    <w:nsid w:val="17180B0B"/>
    <w:multiLevelType w:val="hybridMultilevel"/>
    <w:lvl w:ilvl="0">
      <w:lvlJc w:val="left"/>
      <w:lvlText w:val="(%1)"/>
      <w:numFmt w:val="decimal"/>
      <w:start w:val="3"/>
    </w:lvl>
  </w:abstractNum>
  <w:abstractNum w:abstractNumId="150">
    <w:nsid w:val="579328B9"/>
    <w:multiLevelType w:val="hybridMultilevel"/>
    <w:lvl w:ilvl="0">
      <w:lvlJc w:val="left"/>
      <w:lvlText w:val="(%1)"/>
      <w:numFmt w:val="lowerRoman"/>
      <w:start w:val="2"/>
    </w:lvl>
  </w:abstractNum>
  <w:abstractNum w:abstractNumId="151">
    <w:nsid w:val="5D205E20"/>
    <w:multiLevelType w:val="hybridMultilevel"/>
    <w:lvl w:ilvl="0">
      <w:lvlJc w:val="left"/>
      <w:lvlText w:val="(%1)"/>
      <w:numFmt w:val="lowerRoman"/>
      <w:start w:val="1"/>
    </w:lvl>
  </w:abstractNum>
  <w:abstractNum w:abstractNumId="152">
    <w:nsid w:val="11CCA8BA"/>
    <w:multiLevelType w:val="hybridMultilevel"/>
    <w:lvl w:ilvl="0">
      <w:lvlJc w:val="left"/>
      <w:lvlText w:val="(%1)"/>
      <w:numFmt w:val="lowerRoman"/>
      <w:start w:val="2"/>
    </w:lvl>
  </w:abstractNum>
  <w:abstractNum w:abstractNumId="153">
    <w:nsid w:val="4D32AB86"/>
    <w:multiLevelType w:val="hybridMultilevel"/>
    <w:lvl w:ilvl="0">
      <w:lvlJc w:val="left"/>
      <w:lvlText w:val="(%1)"/>
      <w:numFmt w:val="lowerRoman"/>
      <w:start w:val="4"/>
    </w:lvl>
  </w:abstractNum>
  <w:abstractNum w:abstractNumId="154">
    <w:nsid w:val="3F07ACC3"/>
    <w:multiLevelType w:val="hybridMultilevel"/>
    <w:lvl w:ilvl="0">
      <w:lvlJc w:val="left"/>
      <w:lvlText w:val="(%1)"/>
      <w:numFmt w:val="lowerRoman"/>
      <w:start w:val="6"/>
    </w:lvl>
  </w:abstractNum>
  <w:abstractNum w:abstractNumId="155">
    <w:nsid w:val="6B47F63E"/>
    <w:multiLevelType w:val="hybridMultilevel"/>
    <w:lvl w:ilvl="0">
      <w:lvlJc w:val="left"/>
      <w:lvlText w:val="(%1)"/>
      <w:numFmt w:val="lowerLetter"/>
      <w:start w:val="4"/>
    </w:lvl>
    <w:lvl w:ilvl="1">
      <w:lvlJc w:val="left"/>
      <w:lvlText w:val="(%2)"/>
      <w:numFmt w:val="lowerRoman"/>
      <w:start w:val="1"/>
    </w:lvl>
  </w:abstractNum>
  <w:abstractNum w:abstractNumId="156">
    <w:nsid w:val="5CB44A05"/>
    <w:multiLevelType w:val="hybridMultilevel"/>
    <w:lvl w:ilvl="0">
      <w:lvlJc w:val="left"/>
      <w:lvlText w:val="(%1)"/>
      <w:numFmt w:val="lowerRoman"/>
      <w:start w:val="4"/>
    </w:lvl>
  </w:abstractNum>
  <w:abstractNum w:abstractNumId="157">
    <w:nsid w:val="16CF80F1"/>
    <w:multiLevelType w:val="hybridMultilevel"/>
    <w:lvl w:ilvl="0">
      <w:lvlJc w:val="left"/>
      <w:lvlText w:val="(%1)"/>
      <w:numFmt w:val="lowerLetter"/>
      <w:start w:val="2"/>
    </w:lvl>
  </w:abstractNum>
  <w:abstractNum w:abstractNumId="158">
    <w:nsid w:val="1C695DEC"/>
    <w:multiLevelType w:val="hybridMultilevel"/>
    <w:lvl w:ilvl="0">
      <w:lvlJc w:val="left"/>
      <w:lvlText w:val="(%1)"/>
      <w:numFmt w:val="lowerRoman"/>
      <w:start w:val="1"/>
    </w:lvl>
  </w:abstractNum>
  <w:abstractNum w:abstractNumId="159">
    <w:nsid w:val="3FCFAED9"/>
    <w:multiLevelType w:val="hybridMultilevel"/>
    <w:lvl w:ilvl="0">
      <w:lvlJc w:val="left"/>
      <w:lvlText w:val="(%1)"/>
      <w:numFmt w:val="lowerRoman"/>
      <w:start w:val="1"/>
    </w:lvl>
  </w:abstractNum>
  <w:abstractNum w:abstractNumId="160">
    <w:nsid w:val="F856867"/>
    <w:multiLevelType w:val="hybridMultilevel"/>
    <w:lvl w:ilvl="0">
      <w:lvlJc w:val="left"/>
      <w:lvlText w:val="(%1)"/>
      <w:numFmt w:val="lowerRoman"/>
      <w:start w:val="1"/>
    </w:lvl>
  </w:abstractNum>
  <w:abstractNum w:abstractNumId="161">
    <w:nsid w:val="11B1CC33"/>
    <w:multiLevelType w:val="hybridMultilevel"/>
    <w:lvl w:ilvl="0">
      <w:lvlJc w:val="left"/>
      <w:lvlText w:val="%1."/>
      <w:numFmt w:val="decimal"/>
      <w:start w:val="1"/>
    </w:lvl>
    <w:lvl w:ilvl="1">
      <w:lvlJc w:val="left"/>
      <w:lvlText w:val="(%2)"/>
      <w:numFmt w:val="lowerLetter"/>
      <w:start w:val="1"/>
    </w:lvl>
  </w:abstractNum>
  <w:abstractNum w:abstractNumId="162">
    <w:nsid w:val="2E22FBB7"/>
    <w:multiLevelType w:val="hybridMultilevel"/>
    <w:lvl w:ilvl="0">
      <w:lvlJc w:val="left"/>
      <w:lvlText w:val="%1."/>
      <w:numFmt w:val="decimal"/>
      <w:start w:val="1"/>
    </w:lvl>
    <w:lvl w:ilvl="1">
      <w:lvlJc w:val="left"/>
      <w:lvlText w:val="(%2)"/>
      <w:numFmt w:val="lowerLetter"/>
      <w:start w:val="1"/>
    </w:lvl>
  </w:abstractNum>
  <w:abstractNum w:abstractNumId="163">
    <w:nsid w:val="29934699"/>
    <w:multiLevelType w:val="hybridMultilevel"/>
    <w:lvl w:ilvl="0">
      <w:lvlJc w:val="left"/>
      <w:lvlText w:val="(%1)"/>
      <w:numFmt w:val="decimal"/>
      <w:start w:val="1"/>
    </w:lvl>
  </w:abstractNum>
  <w:abstractNum w:abstractNumId="164">
    <w:nsid w:val="774858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112" Type="http://schemas.openxmlformats.org/officeDocument/2006/relationships/hyperlink" Target="https://www.sec.gov/Archives/edgar/data/23194/000119312518249597/d583492dex31.htm" TargetMode="External"/><Relationship Id="rId113" Type="http://schemas.openxmlformats.org/officeDocument/2006/relationships/hyperlink" Target="https://www.sec.gov/Archives/edgar/data/23194/000156459019025227/crk-ex31_503.htm" TargetMode="External"/><Relationship Id="rId114" Type="http://schemas.openxmlformats.org/officeDocument/2006/relationships/hyperlink" Target="https://www.sec.gov/Archives/edgar/data/23194/000002319414000018/exhibit3pnt1.htm" TargetMode="External"/><Relationship Id="rId115" Type="http://schemas.openxmlformats.org/officeDocument/2006/relationships/hyperlink" Target="https://www.sec.gov/Archives/edgar/data/23194/000156459018022145/crk-ex31_50.htm" TargetMode="External"/><Relationship Id="rId116" Type="http://schemas.openxmlformats.org/officeDocument/2006/relationships/hyperlink" Target="https://www.sec.gov/Archives/edgar/data/23194/000156459019025227/crk-ex32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2026-05-06T13:26:13Z</dcterms:created>
  <dcterms:modified xsi:type="dcterms:W3CDTF">2026-05-06T13:26:13Z</dcterms:modified>
</cp:coreProperties>
</file>